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28B" w:rsidRPr="002D37DF" w:rsidRDefault="00A3528B" w:rsidP="00A3528B">
      <w:pPr>
        <w:widowControl w:val="0"/>
        <w:tabs>
          <w:tab w:val="center" w:pos="4536"/>
          <w:tab w:val="right" w:pos="8280"/>
          <w:tab w:val="right" w:pos="9781"/>
        </w:tabs>
        <w:overflowPunct/>
        <w:autoSpaceDE/>
        <w:adjustRightInd/>
        <w:spacing w:after="0"/>
        <w:ind w:right="-58"/>
        <w:rPr>
          <w:rFonts w:ascii="Arial" w:eastAsia="Malgun Gothic" w:hAnsi="Arial" w:cs="Arial"/>
          <w:b/>
          <w:sz w:val="24"/>
          <w:lang w:eastAsia="ko-KR"/>
        </w:rPr>
      </w:pPr>
      <w:r w:rsidRPr="004E16D6">
        <w:rPr>
          <w:rFonts w:ascii="Arial" w:hAnsi="Arial" w:cs="Arial"/>
          <w:b/>
          <w:sz w:val="24"/>
        </w:rPr>
        <w:t>3GPP TSG RAN WG1 Meeting #90</w:t>
      </w:r>
      <w:r>
        <w:rPr>
          <w:rFonts w:ascii="Arial" w:hAnsi="Arial" w:cs="Arial"/>
          <w:b/>
          <w:sz w:val="24"/>
        </w:rPr>
        <w:tab/>
      </w:r>
      <w:r>
        <w:rPr>
          <w:rFonts w:ascii="Arial" w:hAnsi="Arial" w:cs="Arial"/>
          <w:b/>
          <w:sz w:val="24"/>
        </w:rPr>
        <w:tab/>
      </w:r>
      <w:r>
        <w:rPr>
          <w:rFonts w:ascii="Arial" w:hAnsi="Arial" w:cs="Arial"/>
          <w:b/>
          <w:sz w:val="24"/>
        </w:rPr>
        <w:tab/>
      </w:r>
      <w:r w:rsidRPr="00A3528B">
        <w:rPr>
          <w:rFonts w:ascii="Arial" w:hAnsi="Arial" w:cs="Arial"/>
          <w:b/>
          <w:sz w:val="24"/>
        </w:rPr>
        <w:t>R1-1712598</w:t>
      </w:r>
    </w:p>
    <w:p w:rsidR="00A3528B" w:rsidRDefault="00A3528B" w:rsidP="00A3528B">
      <w:pPr>
        <w:widowControl w:val="0"/>
        <w:tabs>
          <w:tab w:val="center" w:pos="4536"/>
          <w:tab w:val="right" w:pos="9072"/>
        </w:tabs>
        <w:overflowPunct/>
        <w:autoSpaceDE/>
        <w:adjustRightInd/>
        <w:spacing w:after="0"/>
        <w:rPr>
          <w:rFonts w:ascii="Arial" w:hAnsi="Arial" w:cs="Arial"/>
          <w:b/>
          <w:sz w:val="24"/>
        </w:rPr>
      </w:pPr>
      <w:r w:rsidRPr="004E16D6">
        <w:rPr>
          <w:rFonts w:ascii="Arial" w:hAnsi="Arial" w:cs="Arial"/>
          <w:b/>
          <w:sz w:val="24"/>
        </w:rPr>
        <w:t>Prague, Czechia, 21</w:t>
      </w:r>
      <w:r w:rsidRPr="008D1D4D">
        <w:rPr>
          <w:rFonts w:ascii="Arial" w:hAnsi="Arial" w:cs="Arial"/>
          <w:b/>
          <w:sz w:val="24"/>
          <w:vertAlign w:val="superscript"/>
        </w:rPr>
        <w:t>st</w:t>
      </w:r>
      <w:r w:rsidRPr="004E16D6">
        <w:rPr>
          <w:rFonts w:ascii="Arial" w:hAnsi="Arial" w:cs="Arial"/>
          <w:b/>
          <w:sz w:val="24"/>
        </w:rPr>
        <w:t xml:space="preserve"> – 25</w:t>
      </w:r>
      <w:r w:rsidRPr="008D1D4D">
        <w:rPr>
          <w:rFonts w:ascii="Arial" w:hAnsi="Arial" w:cs="Arial"/>
          <w:b/>
          <w:sz w:val="24"/>
          <w:vertAlign w:val="superscript"/>
        </w:rPr>
        <w:t>th</w:t>
      </w:r>
      <w:r w:rsidRPr="004E16D6">
        <w:rPr>
          <w:rFonts w:ascii="Arial" w:hAnsi="Arial" w:cs="Arial"/>
          <w:b/>
          <w:sz w:val="24"/>
        </w:rPr>
        <w:t xml:space="preserve"> August 2017</w:t>
      </w:r>
    </w:p>
    <w:p w:rsidR="00A3528B" w:rsidRDefault="00A3528B" w:rsidP="00A3528B">
      <w:pPr>
        <w:spacing w:after="0"/>
        <w:ind w:left="1988" w:hanging="1988"/>
        <w:rPr>
          <w:rFonts w:ascii="Arial" w:hAnsi="Arial" w:cs="Arial"/>
          <w:b/>
          <w:sz w:val="24"/>
        </w:rPr>
      </w:pPr>
    </w:p>
    <w:p w:rsidR="00A3528B" w:rsidRDefault="00A3528B" w:rsidP="00A3528B">
      <w:pPr>
        <w:spacing w:after="0"/>
        <w:ind w:left="1988" w:hanging="1988"/>
        <w:rPr>
          <w:rFonts w:ascii="Arial" w:hAnsi="Arial" w:cs="Arial"/>
          <w:b/>
          <w:sz w:val="24"/>
        </w:rPr>
      </w:pPr>
      <w:r>
        <w:rPr>
          <w:rFonts w:ascii="Arial" w:hAnsi="Arial" w:cs="Arial"/>
          <w:b/>
          <w:sz w:val="24"/>
        </w:rPr>
        <w:t>Source:</w:t>
      </w:r>
      <w:r>
        <w:rPr>
          <w:rFonts w:ascii="Arial" w:hAnsi="Arial" w:cs="Arial"/>
          <w:b/>
          <w:sz w:val="24"/>
        </w:rPr>
        <w:tab/>
        <w:t xml:space="preserve">Intel Corporation </w:t>
      </w:r>
    </w:p>
    <w:p w:rsidR="00A3528B" w:rsidRPr="00C60AA9" w:rsidRDefault="00A3528B" w:rsidP="00A3528B">
      <w:pPr>
        <w:overflowPunct/>
        <w:autoSpaceDE/>
        <w:adjustRightInd/>
        <w:spacing w:after="0"/>
        <w:ind w:left="1985" w:hanging="1985"/>
        <w:rPr>
          <w:rFonts w:ascii="Arial" w:hAnsi="Arial" w:cs="Arial"/>
          <w:b/>
          <w:sz w:val="24"/>
        </w:rPr>
      </w:pPr>
      <w:r>
        <w:rPr>
          <w:rFonts w:ascii="Arial" w:hAnsi="Arial" w:cs="Arial"/>
          <w:b/>
          <w:sz w:val="24"/>
        </w:rPr>
        <w:t>Title:</w:t>
      </w:r>
      <w:r>
        <w:rPr>
          <w:rFonts w:ascii="Arial" w:hAnsi="Arial" w:cs="Arial"/>
          <w:b/>
          <w:sz w:val="24"/>
        </w:rPr>
        <w:tab/>
      </w:r>
      <w:r w:rsidRPr="00A3528B">
        <w:rPr>
          <w:rFonts w:ascii="Arial" w:hAnsi="Arial" w:cs="Arial"/>
          <w:b/>
          <w:sz w:val="24"/>
        </w:rPr>
        <w:t xml:space="preserve">Processing times and HARQ processes in NR </w:t>
      </w:r>
      <w:r>
        <w:rPr>
          <w:rFonts w:ascii="Arial" w:hAnsi="Arial" w:cs="Arial"/>
          <w:b/>
          <w:sz w:val="24"/>
        </w:rPr>
        <w:t xml:space="preserve"> </w:t>
      </w:r>
    </w:p>
    <w:p w:rsidR="00A3528B" w:rsidRDefault="00A3528B" w:rsidP="00A3528B">
      <w:pPr>
        <w:spacing w:after="0"/>
        <w:ind w:left="1988" w:hanging="1988"/>
        <w:rPr>
          <w:rFonts w:ascii="Arial" w:hAnsi="Arial" w:cs="Arial"/>
          <w:b/>
          <w:sz w:val="24"/>
        </w:rPr>
      </w:pPr>
      <w:r w:rsidRPr="00C60AA9">
        <w:rPr>
          <w:rFonts w:ascii="Arial" w:hAnsi="Arial" w:cs="Arial"/>
          <w:b/>
          <w:sz w:val="24"/>
        </w:rPr>
        <w:t>Agenda item:</w:t>
      </w:r>
      <w:r w:rsidRPr="00C60AA9">
        <w:rPr>
          <w:rFonts w:ascii="Arial" w:hAnsi="Arial" w:cs="Arial"/>
          <w:b/>
          <w:sz w:val="24"/>
        </w:rPr>
        <w:tab/>
      </w:r>
      <w:r w:rsidRPr="00A3528B">
        <w:rPr>
          <w:rFonts w:ascii="Arial" w:hAnsi="Arial" w:cs="Arial"/>
          <w:b/>
          <w:sz w:val="24"/>
        </w:rPr>
        <w:t>6.1.3.3.6.1</w:t>
      </w:r>
    </w:p>
    <w:p w:rsidR="00A3528B" w:rsidRPr="007823DE" w:rsidRDefault="00A3528B" w:rsidP="00A3528B">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7F3003" w:rsidRPr="002B5BBB" w:rsidRDefault="007F3003" w:rsidP="007F3003">
      <w:pPr>
        <w:pStyle w:val="Heading1"/>
        <w:numPr>
          <w:ilvl w:val="0"/>
          <w:numId w:val="2"/>
        </w:numPr>
        <w:ind w:left="360"/>
        <w:textAlignment w:val="auto"/>
        <w:rPr>
          <w:sz w:val="32"/>
        </w:rPr>
      </w:pPr>
      <w:r w:rsidRPr="002B5BBB">
        <w:rPr>
          <w:sz w:val="32"/>
        </w:rPr>
        <w:t>Introduction</w:t>
      </w:r>
    </w:p>
    <w:p w:rsidR="007F3003" w:rsidRDefault="007F3003" w:rsidP="007F3003">
      <w:pPr>
        <w:spacing w:before="240"/>
        <w:jc w:val="both"/>
        <w:rPr>
          <w:sz w:val="22"/>
          <w:szCs w:val="22"/>
        </w:rPr>
      </w:pPr>
      <w:r>
        <w:rPr>
          <w:sz w:val="22"/>
          <w:szCs w:val="22"/>
        </w:rPr>
        <w:t xml:space="preserve">In this contribution, we discuss aspects related to </w:t>
      </w:r>
      <w:r w:rsidR="00A3528B">
        <w:rPr>
          <w:sz w:val="22"/>
          <w:szCs w:val="22"/>
        </w:rPr>
        <w:t xml:space="preserve">characterizing UE processing times and the </w:t>
      </w:r>
      <w:r>
        <w:rPr>
          <w:sz w:val="22"/>
          <w:szCs w:val="22"/>
        </w:rPr>
        <w:t>number of HARQ processes in NR.</w:t>
      </w:r>
    </w:p>
    <w:p w:rsidR="00A3528B" w:rsidRDefault="00A3528B" w:rsidP="007F3003">
      <w:pPr>
        <w:pStyle w:val="Heading1"/>
        <w:numPr>
          <w:ilvl w:val="0"/>
          <w:numId w:val="2"/>
        </w:numPr>
        <w:ind w:left="360"/>
        <w:textAlignment w:val="auto"/>
        <w:rPr>
          <w:sz w:val="32"/>
        </w:rPr>
      </w:pPr>
      <w:r>
        <w:rPr>
          <w:sz w:val="32"/>
        </w:rPr>
        <w:t>Discussion on UE processing times in NR</w:t>
      </w:r>
    </w:p>
    <w:p w:rsidR="00A3528B" w:rsidRDefault="003C3917" w:rsidP="00A3528B">
      <w:pPr>
        <w:rPr>
          <w:lang w:val="en-GB"/>
        </w:rPr>
      </w:pPr>
      <w:r>
        <w:rPr>
          <w:lang w:val="en-GB"/>
        </w:rPr>
        <w:t>During the RAN1 NR AH#2 meeting, the following was agreed with regard to UE processing time definitions [1]:</w:t>
      </w:r>
    </w:p>
    <w:p w:rsidR="00E24538" w:rsidRPr="003C3917" w:rsidRDefault="00E24538" w:rsidP="003C3917">
      <w:pPr>
        <w:numPr>
          <w:ilvl w:val="0"/>
          <w:numId w:val="4"/>
        </w:numPr>
        <w:rPr>
          <w:i/>
        </w:rPr>
      </w:pPr>
      <w:r w:rsidRPr="003C3917">
        <w:rPr>
          <w:i/>
        </w:rPr>
        <w:t xml:space="preserve">UE processing time to be defined in terms of symbols and absolute time (in </w:t>
      </w:r>
      <w:r w:rsidRPr="003C3917">
        <w:rPr>
          <w:i/>
          <w:lang w:val="el-GR"/>
        </w:rPr>
        <w:t>μ</w:t>
      </w:r>
      <w:r w:rsidRPr="003C3917">
        <w:rPr>
          <w:i/>
        </w:rPr>
        <w:t>s)</w:t>
      </w:r>
    </w:p>
    <w:p w:rsidR="00E24538" w:rsidRPr="003C3917" w:rsidRDefault="00E24538" w:rsidP="003C3917">
      <w:pPr>
        <w:numPr>
          <w:ilvl w:val="0"/>
          <w:numId w:val="4"/>
        </w:numPr>
        <w:rPr>
          <w:i/>
        </w:rPr>
      </w:pPr>
      <w:r w:rsidRPr="003C3917">
        <w:rPr>
          <w:i/>
          <w:iCs/>
        </w:rPr>
        <w:t>N1</w:t>
      </w:r>
      <w:r w:rsidRPr="003C3917">
        <w:rPr>
          <w:i/>
        </w:rPr>
        <w:t xml:space="preserve">: # of OFDM symbols required for UE processing from the </w:t>
      </w:r>
      <w:r w:rsidRPr="003C3917">
        <w:rPr>
          <w:i/>
          <w:iCs/>
        </w:rPr>
        <w:t>end of NR-PDSCH</w:t>
      </w:r>
      <w:r w:rsidRPr="003C3917">
        <w:rPr>
          <w:i/>
        </w:rPr>
        <w:t xml:space="preserve"> to the earliest possible </w:t>
      </w:r>
      <w:r w:rsidRPr="003C3917">
        <w:rPr>
          <w:i/>
          <w:iCs/>
        </w:rPr>
        <w:t xml:space="preserve">start of the corresponding A/N transmission </w:t>
      </w:r>
      <w:r w:rsidRPr="003C3917">
        <w:rPr>
          <w:i/>
        </w:rPr>
        <w:t>from UE perspective</w:t>
      </w:r>
    </w:p>
    <w:p w:rsidR="00E24538" w:rsidRPr="003C3917" w:rsidRDefault="00E24538" w:rsidP="003C3917">
      <w:pPr>
        <w:numPr>
          <w:ilvl w:val="0"/>
          <w:numId w:val="4"/>
        </w:numPr>
        <w:rPr>
          <w:i/>
        </w:rPr>
      </w:pPr>
      <w:r w:rsidRPr="003C3917">
        <w:rPr>
          <w:i/>
          <w:iCs/>
        </w:rPr>
        <w:t>N2</w:t>
      </w:r>
      <w:r w:rsidRPr="003C3917">
        <w:rPr>
          <w:i/>
        </w:rPr>
        <w:t xml:space="preserve">: # of OFDM symbols required for UE processing from the </w:t>
      </w:r>
      <w:r w:rsidRPr="003C3917">
        <w:rPr>
          <w:i/>
          <w:iCs/>
        </w:rPr>
        <w:t xml:space="preserve">end of NR-PDCCH </w:t>
      </w:r>
      <w:r w:rsidRPr="003C3917">
        <w:rPr>
          <w:i/>
        </w:rPr>
        <w:t xml:space="preserve">containing the UL grant to the earliest possible </w:t>
      </w:r>
      <w:r w:rsidRPr="003C3917">
        <w:rPr>
          <w:i/>
          <w:iCs/>
        </w:rPr>
        <w:t xml:space="preserve">start of the corresponding NR-PUSCH </w:t>
      </w:r>
      <w:r w:rsidRPr="003C3917">
        <w:rPr>
          <w:i/>
        </w:rPr>
        <w:t>transmission from UE perspective</w:t>
      </w:r>
    </w:p>
    <w:p w:rsidR="00E24538" w:rsidRPr="003C3917" w:rsidRDefault="00E24538" w:rsidP="003C3917">
      <w:pPr>
        <w:numPr>
          <w:ilvl w:val="0"/>
          <w:numId w:val="4"/>
        </w:numPr>
        <w:rPr>
          <w:i/>
        </w:rPr>
      </w:pPr>
      <w:r w:rsidRPr="003C3917">
        <w:rPr>
          <w:i/>
          <w:iCs/>
        </w:rPr>
        <w:t>N1</w:t>
      </w:r>
      <w:r w:rsidRPr="003C3917">
        <w:rPr>
          <w:i/>
        </w:rPr>
        <w:t xml:space="preserve"> and </w:t>
      </w:r>
      <w:r w:rsidRPr="003C3917">
        <w:rPr>
          <w:i/>
          <w:iCs/>
        </w:rPr>
        <w:t>N2</w:t>
      </w:r>
      <w:r w:rsidRPr="003C3917">
        <w:rPr>
          <w:i/>
        </w:rPr>
        <w:t xml:space="preserve"> include only UE processing time, i.e., TA is not included</w:t>
      </w:r>
    </w:p>
    <w:p w:rsidR="003C3917" w:rsidRPr="003C3917" w:rsidRDefault="003C3917" w:rsidP="003C3917">
      <w:pPr>
        <w:numPr>
          <w:ilvl w:val="0"/>
          <w:numId w:val="4"/>
        </w:numPr>
        <w:rPr>
          <w:i/>
        </w:rPr>
      </w:pPr>
      <w:r w:rsidRPr="003C3917">
        <w:rPr>
          <w:i/>
        </w:rPr>
        <w:t>FFS between the following for each combination defined in the next slide</w:t>
      </w:r>
    </w:p>
    <w:p w:rsidR="003C3917" w:rsidRPr="003C3917" w:rsidRDefault="003C3917" w:rsidP="003C3917">
      <w:pPr>
        <w:numPr>
          <w:ilvl w:val="1"/>
          <w:numId w:val="4"/>
        </w:numPr>
        <w:rPr>
          <w:i/>
        </w:rPr>
      </w:pPr>
      <w:r w:rsidRPr="003C3917">
        <w:rPr>
          <w:i/>
        </w:rPr>
        <w:t>Opt 1: UE reports N1 and N2 as UE capability</w:t>
      </w:r>
    </w:p>
    <w:p w:rsidR="003C3917" w:rsidRPr="003C3917" w:rsidRDefault="003C3917" w:rsidP="003C3917">
      <w:pPr>
        <w:numPr>
          <w:ilvl w:val="1"/>
          <w:numId w:val="4"/>
        </w:numPr>
        <w:rPr>
          <w:i/>
        </w:rPr>
      </w:pPr>
      <w:r w:rsidRPr="003C3917">
        <w:rPr>
          <w:i/>
        </w:rPr>
        <w:t>Opt 2: Fixed values of N1 and N2</w:t>
      </w:r>
    </w:p>
    <w:p w:rsidR="003C3917" w:rsidRPr="003C3917" w:rsidRDefault="003C3917" w:rsidP="003C3917">
      <w:pPr>
        <w:numPr>
          <w:ilvl w:val="0"/>
          <w:numId w:val="4"/>
        </w:numPr>
        <w:rPr>
          <w:i/>
        </w:rPr>
      </w:pPr>
      <w:r w:rsidRPr="003C3917">
        <w:rPr>
          <w:i/>
        </w:rPr>
        <w:t>UE is not expected transmit anything in uplink if the network set the values of K1 and/or K2 without leaving sufficient time for UE processing</w:t>
      </w:r>
    </w:p>
    <w:p w:rsidR="003C3917" w:rsidRDefault="003C3917" w:rsidP="00A3528B">
      <w:pPr>
        <w:rPr>
          <w:lang w:val="en-GB"/>
        </w:rPr>
      </w:pPr>
      <w:r>
        <w:rPr>
          <w:lang w:val="en-GB"/>
        </w:rPr>
        <w:t>Additionally, the following work plan was agreed towards the characterization of UE processing times in NR [1]:</w:t>
      </w:r>
    </w:p>
    <w:p w:rsidR="003C3917" w:rsidRPr="003C3917" w:rsidRDefault="003C3917" w:rsidP="003C3917">
      <w:pPr>
        <w:numPr>
          <w:ilvl w:val="0"/>
          <w:numId w:val="4"/>
        </w:numPr>
        <w:rPr>
          <w:i/>
          <w:iCs/>
        </w:rPr>
      </w:pPr>
      <w:r w:rsidRPr="003C3917">
        <w:rPr>
          <w:i/>
          <w:iCs/>
        </w:rPr>
        <w:t>Email discussion on the following</w:t>
      </w:r>
    </w:p>
    <w:p w:rsidR="003C3917" w:rsidRPr="003C3917" w:rsidRDefault="003C3917" w:rsidP="003C3917">
      <w:pPr>
        <w:numPr>
          <w:ilvl w:val="1"/>
          <w:numId w:val="4"/>
        </w:numPr>
        <w:rPr>
          <w:i/>
          <w:iCs/>
        </w:rPr>
      </w:pPr>
      <w:r w:rsidRPr="003C3917">
        <w:rPr>
          <w:i/>
          <w:iCs/>
        </w:rPr>
        <w:t>Step 1: identify the candidate factors for processing time (until 4th Aug.)</w:t>
      </w:r>
    </w:p>
    <w:p w:rsidR="003C3917" w:rsidRPr="003C3917" w:rsidRDefault="003C3917" w:rsidP="003C3917">
      <w:pPr>
        <w:numPr>
          <w:ilvl w:val="1"/>
          <w:numId w:val="4"/>
        </w:numPr>
        <w:rPr>
          <w:i/>
          <w:iCs/>
        </w:rPr>
      </w:pPr>
      <w:r w:rsidRPr="003C3917">
        <w:rPr>
          <w:i/>
          <w:iCs/>
        </w:rPr>
        <w:t>Step 2: identify the table (until 4th Aug.)</w:t>
      </w:r>
    </w:p>
    <w:p w:rsidR="003C3917" w:rsidRPr="003C3917" w:rsidRDefault="003C3917" w:rsidP="003C3917">
      <w:pPr>
        <w:numPr>
          <w:ilvl w:val="0"/>
          <w:numId w:val="4"/>
        </w:numPr>
        <w:rPr>
          <w:i/>
          <w:iCs/>
        </w:rPr>
      </w:pPr>
      <w:r w:rsidRPr="003C3917">
        <w:rPr>
          <w:i/>
          <w:iCs/>
        </w:rPr>
        <w:t>Based on the proponents’ input for step 1 and step 2, following work will be done:</w:t>
      </w:r>
    </w:p>
    <w:p w:rsidR="003C3917" w:rsidRPr="003C3917" w:rsidRDefault="003C3917" w:rsidP="003C3917">
      <w:pPr>
        <w:numPr>
          <w:ilvl w:val="1"/>
          <w:numId w:val="4"/>
        </w:numPr>
        <w:rPr>
          <w:i/>
          <w:iCs/>
        </w:rPr>
      </w:pPr>
      <w:r w:rsidRPr="003C3917">
        <w:rPr>
          <w:i/>
          <w:iCs/>
        </w:rPr>
        <w:t>Step 3: fill-in the table</w:t>
      </w:r>
    </w:p>
    <w:p w:rsidR="003C3917" w:rsidRPr="003C3917" w:rsidRDefault="003C3917" w:rsidP="003C3917">
      <w:pPr>
        <w:numPr>
          <w:ilvl w:val="1"/>
          <w:numId w:val="4"/>
        </w:numPr>
        <w:rPr>
          <w:i/>
          <w:iCs/>
        </w:rPr>
      </w:pPr>
      <w:r w:rsidRPr="003C3917">
        <w:rPr>
          <w:i/>
          <w:iCs/>
        </w:rPr>
        <w:t>Targeting finishing step 3 until September meeting.</w:t>
      </w:r>
    </w:p>
    <w:p w:rsidR="003C3917" w:rsidRPr="003C3917" w:rsidRDefault="003C3917" w:rsidP="003C3917">
      <w:pPr>
        <w:numPr>
          <w:ilvl w:val="1"/>
          <w:numId w:val="4"/>
        </w:numPr>
        <w:rPr>
          <w:i/>
          <w:iCs/>
        </w:rPr>
      </w:pPr>
      <w:r w:rsidRPr="003C3917">
        <w:rPr>
          <w:i/>
          <w:iCs/>
        </w:rPr>
        <w:t>Note: companies are encouraged to bring up initial numbers for the table to the August meeting</w:t>
      </w:r>
    </w:p>
    <w:p w:rsidR="003C3917" w:rsidRPr="003C3917" w:rsidRDefault="003C3917" w:rsidP="003C3917">
      <w:pPr>
        <w:numPr>
          <w:ilvl w:val="1"/>
          <w:numId w:val="4"/>
        </w:numPr>
        <w:rPr>
          <w:i/>
          <w:iCs/>
        </w:rPr>
      </w:pPr>
      <w:r w:rsidRPr="003C3917">
        <w:rPr>
          <w:i/>
          <w:iCs/>
        </w:rPr>
        <w:t>Note: fill-in the table does not necessarily results in defining some UE capabilities or exact values of K1 and K2 in the specification.</w:t>
      </w:r>
    </w:p>
    <w:p w:rsidR="003C3917" w:rsidRDefault="003C3917" w:rsidP="00A3528B">
      <w:pPr>
        <w:rPr>
          <w:lang w:val="en-GB"/>
        </w:rPr>
      </w:pPr>
      <w:r>
        <w:rPr>
          <w:lang w:val="en-GB"/>
        </w:rPr>
        <w:t>Subsequently, as part of the RAN1 email discussion, inputs on candidate factors and the key contributing factors to different characterization of N1 and N2 values were summarized and the following has been proposed by the email discussion rapporteur:</w:t>
      </w:r>
    </w:p>
    <w:tbl>
      <w:tblPr>
        <w:tblStyle w:val="TableGrid"/>
        <w:tblW w:w="0" w:type="auto"/>
        <w:tblLook w:val="04A0" w:firstRow="1" w:lastRow="0" w:firstColumn="1" w:lastColumn="0" w:noHBand="0" w:noVBand="1"/>
      </w:tblPr>
      <w:tblGrid>
        <w:gridCol w:w="9962"/>
      </w:tblGrid>
      <w:tr w:rsidR="003C3917" w:rsidTr="003C3917">
        <w:tc>
          <w:tcPr>
            <w:tcW w:w="9962" w:type="dxa"/>
          </w:tcPr>
          <w:p w:rsidR="003C3917" w:rsidRPr="003809BE" w:rsidRDefault="003C3917" w:rsidP="003C3917">
            <w:r w:rsidRPr="00B10637">
              <w:rPr>
                <w:b/>
                <w:u w:val="single"/>
              </w:rPr>
              <w:lastRenderedPageBreak/>
              <w:t>Proposal</w:t>
            </w:r>
            <w:r>
              <w:rPr>
                <w:b/>
                <w:u w:val="single"/>
              </w:rPr>
              <w:t xml:space="preserve"> (from Rapporteur of </w:t>
            </w:r>
            <w:r w:rsidR="00E3246F" w:rsidRPr="00E3246F">
              <w:rPr>
                <w:b/>
                <w:u w:val="single"/>
              </w:rPr>
              <w:t>email discussion [NRAH2-09]</w:t>
            </w:r>
            <w:r w:rsidR="00E3246F">
              <w:rPr>
                <w:b/>
                <w:u w:val="single"/>
              </w:rPr>
              <w:t>)</w:t>
            </w:r>
            <w:r w:rsidRPr="00E3246F">
              <w:rPr>
                <w:b/>
              </w:rPr>
              <w:t xml:space="preserve">: </w:t>
            </w:r>
            <w:r w:rsidRPr="003809BE">
              <w:t xml:space="preserve">The candidate factors for (N1,N2) processing time characterization (Step 3) are given in </w:t>
            </w:r>
            <w:r w:rsidRPr="003809BE">
              <w:fldChar w:fldCharType="begin"/>
            </w:r>
            <w:r w:rsidRPr="003809BE">
              <w:instrText xml:space="preserve"> REF _Ref489979896 \h </w:instrText>
            </w:r>
            <w:r>
              <w:instrText xml:space="preserve"> \* MERGEFORMAT </w:instrText>
            </w:r>
            <w:r w:rsidRPr="003809BE">
              <w:fldChar w:fldCharType="separate"/>
            </w:r>
            <w:r w:rsidRPr="003809BE">
              <w:t xml:space="preserve">Table </w:t>
            </w:r>
            <w:r w:rsidRPr="003809BE">
              <w:rPr>
                <w:noProof/>
              </w:rPr>
              <w:t>1</w:t>
            </w:r>
            <w:r w:rsidRPr="003809BE">
              <w:fldChar w:fldCharType="end"/>
            </w:r>
            <w:r w:rsidRPr="003809BE">
              <w:t xml:space="preserve">. </w:t>
            </w:r>
          </w:p>
          <w:p w:rsidR="003C3917" w:rsidRPr="003809BE" w:rsidRDefault="003C3917" w:rsidP="003C3917">
            <w:pPr>
              <w:pStyle w:val="ListParagraph"/>
              <w:numPr>
                <w:ilvl w:val="0"/>
                <w:numId w:val="6"/>
              </w:numPr>
              <w:rPr>
                <w:rFonts w:ascii="Times New Roman" w:hAnsi="Times New Roman"/>
                <w:sz w:val="20"/>
                <w:szCs w:val="20"/>
              </w:rPr>
            </w:pPr>
            <w:r>
              <w:rPr>
                <w:rFonts w:ascii="Times New Roman" w:hAnsi="Times New Roman"/>
                <w:sz w:val="20"/>
                <w:szCs w:val="20"/>
              </w:rPr>
              <w:t>N</w:t>
            </w:r>
            <w:r w:rsidRPr="003809BE">
              <w:rPr>
                <w:rFonts w:ascii="Times New Roman" w:hAnsi="Times New Roman"/>
                <w:sz w:val="20"/>
                <w:szCs w:val="20"/>
              </w:rPr>
              <w:t>ominal assumptions should be provided for this characterization</w:t>
            </w:r>
            <w:r>
              <w:rPr>
                <w:rFonts w:ascii="Times New Roman" w:hAnsi="Times New Roman"/>
                <w:sz w:val="20"/>
                <w:szCs w:val="20"/>
              </w:rPr>
              <w:t xml:space="preserve"> E</w:t>
            </w:r>
            <w:r w:rsidRPr="003809BE">
              <w:rPr>
                <w:rFonts w:ascii="Times New Roman" w:hAnsi="Times New Roman"/>
                <w:sz w:val="20"/>
                <w:szCs w:val="20"/>
              </w:rPr>
              <w:t xml:space="preserve">xamples are provided </w:t>
            </w:r>
            <w:r w:rsidRPr="003809BE">
              <w:rPr>
                <w:rFonts w:ascii="Times New Roman" w:hAnsi="Times New Roman"/>
                <w:sz w:val="20"/>
                <w:szCs w:val="20"/>
              </w:rPr>
              <w:fldChar w:fldCharType="begin"/>
            </w:r>
            <w:r w:rsidRPr="003809BE">
              <w:rPr>
                <w:rFonts w:ascii="Times New Roman" w:hAnsi="Times New Roman"/>
                <w:sz w:val="20"/>
                <w:szCs w:val="20"/>
              </w:rPr>
              <w:instrText xml:space="preserve"> REF _Ref489979896 \h  \* MERGEFORMAT </w:instrText>
            </w:r>
            <w:r w:rsidRPr="003809BE">
              <w:rPr>
                <w:rFonts w:ascii="Times New Roman" w:hAnsi="Times New Roman"/>
                <w:sz w:val="20"/>
                <w:szCs w:val="20"/>
              </w:rPr>
            </w:r>
            <w:r w:rsidRPr="003809BE">
              <w:rPr>
                <w:rFonts w:ascii="Times New Roman" w:hAnsi="Times New Roman"/>
                <w:sz w:val="20"/>
                <w:szCs w:val="20"/>
              </w:rPr>
              <w:fldChar w:fldCharType="separate"/>
            </w:r>
            <w:r w:rsidRPr="003809BE">
              <w:rPr>
                <w:rFonts w:ascii="Times New Roman" w:hAnsi="Times New Roman"/>
                <w:sz w:val="20"/>
                <w:szCs w:val="20"/>
              </w:rPr>
              <w:t xml:space="preserve">Table </w:t>
            </w:r>
            <w:r w:rsidRPr="003809BE">
              <w:rPr>
                <w:rFonts w:ascii="Times New Roman" w:hAnsi="Times New Roman"/>
                <w:noProof/>
                <w:sz w:val="20"/>
                <w:szCs w:val="20"/>
              </w:rPr>
              <w:t>1</w:t>
            </w:r>
            <w:r w:rsidRPr="003809BE">
              <w:rPr>
                <w:rFonts w:ascii="Times New Roman" w:hAnsi="Times New Roman"/>
                <w:sz w:val="20"/>
                <w:szCs w:val="20"/>
              </w:rPr>
              <w:fldChar w:fldCharType="end"/>
            </w:r>
          </w:p>
          <w:p w:rsidR="003C3917" w:rsidRPr="003809BE" w:rsidRDefault="003C3917" w:rsidP="003C3917">
            <w:pPr>
              <w:pStyle w:val="ListParagraph"/>
              <w:numPr>
                <w:ilvl w:val="0"/>
                <w:numId w:val="6"/>
              </w:numPr>
              <w:rPr>
                <w:rFonts w:ascii="Times New Roman" w:hAnsi="Times New Roman"/>
                <w:sz w:val="20"/>
                <w:szCs w:val="20"/>
              </w:rPr>
            </w:pPr>
            <w:r w:rsidRPr="003809BE">
              <w:rPr>
                <w:rFonts w:ascii="Times New Roman" w:hAnsi="Times New Roman"/>
                <w:sz w:val="20"/>
                <w:szCs w:val="20"/>
              </w:rPr>
              <w:fldChar w:fldCharType="begin"/>
            </w:r>
            <w:r w:rsidRPr="003809BE">
              <w:rPr>
                <w:rFonts w:ascii="Times New Roman" w:hAnsi="Times New Roman"/>
                <w:sz w:val="20"/>
                <w:szCs w:val="20"/>
              </w:rPr>
              <w:instrText xml:space="preserve"> REF _Ref489979896 \h  \* MERGEFORMAT </w:instrText>
            </w:r>
            <w:r w:rsidRPr="003809BE">
              <w:rPr>
                <w:rFonts w:ascii="Times New Roman" w:hAnsi="Times New Roman"/>
                <w:sz w:val="20"/>
                <w:szCs w:val="20"/>
              </w:rPr>
            </w:r>
            <w:r w:rsidRPr="003809BE">
              <w:rPr>
                <w:rFonts w:ascii="Times New Roman" w:hAnsi="Times New Roman"/>
                <w:sz w:val="20"/>
                <w:szCs w:val="20"/>
              </w:rPr>
              <w:fldChar w:fldCharType="separate"/>
            </w:r>
            <w:r w:rsidRPr="003809BE">
              <w:rPr>
                <w:rFonts w:ascii="Times New Roman" w:hAnsi="Times New Roman"/>
                <w:sz w:val="20"/>
                <w:szCs w:val="20"/>
              </w:rPr>
              <w:t xml:space="preserve">Table </w:t>
            </w:r>
            <w:r w:rsidRPr="003809BE">
              <w:rPr>
                <w:rFonts w:ascii="Times New Roman" w:hAnsi="Times New Roman"/>
                <w:noProof/>
                <w:sz w:val="20"/>
                <w:szCs w:val="20"/>
              </w:rPr>
              <w:t>1</w:t>
            </w:r>
            <w:r w:rsidRPr="003809BE">
              <w:rPr>
                <w:rFonts w:ascii="Times New Roman" w:hAnsi="Times New Roman"/>
                <w:sz w:val="20"/>
                <w:szCs w:val="20"/>
              </w:rPr>
              <w:fldChar w:fldCharType="end"/>
            </w:r>
            <w:r w:rsidRPr="003809BE">
              <w:rPr>
                <w:rFonts w:ascii="Times New Roman" w:hAnsi="Times New Roman"/>
                <w:sz w:val="20"/>
                <w:szCs w:val="20"/>
              </w:rPr>
              <w:t xml:space="preserve"> provides the simples set of candidate factors required for characterization. Other N1,N2 values based on additional candidate factors may be optionally provided. </w:t>
            </w:r>
          </w:p>
          <w:p w:rsidR="003C3917" w:rsidRPr="003809BE" w:rsidRDefault="003C3917" w:rsidP="003C3917">
            <w:pPr>
              <w:pStyle w:val="ListParagraph"/>
              <w:numPr>
                <w:ilvl w:val="0"/>
                <w:numId w:val="6"/>
              </w:numPr>
              <w:rPr>
                <w:rFonts w:ascii="Times New Roman" w:hAnsi="Times New Roman"/>
                <w:sz w:val="20"/>
                <w:szCs w:val="20"/>
              </w:rPr>
            </w:pPr>
            <w:r w:rsidRPr="003809BE">
              <w:rPr>
                <w:rFonts w:ascii="Times New Roman" w:hAnsi="Times New Roman"/>
                <w:sz w:val="20"/>
                <w:szCs w:val="20"/>
              </w:rPr>
              <w:t>It is understood that if nominal assumptions chan</w:t>
            </w:r>
            <w:r>
              <w:rPr>
                <w:rFonts w:ascii="Times New Roman" w:hAnsi="Times New Roman"/>
                <w:sz w:val="20"/>
                <w:szCs w:val="20"/>
              </w:rPr>
              <w:t>ge, the (N1,N2) characterization</w:t>
            </w:r>
            <w:r w:rsidRPr="003809BE">
              <w:rPr>
                <w:rFonts w:ascii="Times New Roman" w:hAnsi="Times New Roman"/>
                <w:sz w:val="20"/>
                <w:szCs w:val="20"/>
              </w:rPr>
              <w:t xml:space="preserve"> </w:t>
            </w:r>
            <w:r>
              <w:rPr>
                <w:rFonts w:ascii="Times New Roman" w:hAnsi="Times New Roman"/>
                <w:sz w:val="20"/>
                <w:szCs w:val="20"/>
              </w:rPr>
              <w:t>can be</w:t>
            </w:r>
            <w:r w:rsidRPr="003809BE">
              <w:rPr>
                <w:rFonts w:ascii="Times New Roman" w:hAnsi="Times New Roman"/>
                <w:sz w:val="20"/>
                <w:szCs w:val="20"/>
              </w:rPr>
              <w:t xml:space="preserve"> revisited accordingly.</w:t>
            </w:r>
          </w:p>
          <w:p w:rsidR="003C3917" w:rsidRPr="00B10637" w:rsidRDefault="003C3917" w:rsidP="003C3917"/>
          <w:p w:rsidR="003C3917" w:rsidRDefault="003C3917" w:rsidP="003C3917">
            <w:pPr>
              <w:pStyle w:val="Caption"/>
              <w:keepNext/>
              <w:jc w:val="center"/>
            </w:pPr>
            <w:bookmarkStart w:id="1" w:name="_Ref489979896"/>
            <w:bookmarkStart w:id="2" w:name="_Ref489979879"/>
            <w:r>
              <w:t xml:space="preserve">Table </w:t>
            </w:r>
            <w:r w:rsidR="002E60E7">
              <w:fldChar w:fldCharType="begin"/>
            </w:r>
            <w:r w:rsidR="002E60E7">
              <w:instrText xml:space="preserve"> SEQ Table \* ARABIC </w:instrText>
            </w:r>
            <w:r w:rsidR="002E60E7">
              <w:fldChar w:fldCharType="separate"/>
            </w:r>
            <w:r>
              <w:rPr>
                <w:noProof/>
              </w:rPr>
              <w:t>1</w:t>
            </w:r>
            <w:r w:rsidR="002E60E7">
              <w:rPr>
                <w:noProof/>
              </w:rPr>
              <w:fldChar w:fldCharType="end"/>
            </w:r>
            <w:bookmarkEnd w:id="1"/>
            <w:r>
              <w:t>. Candidate factors</w:t>
            </w:r>
            <w:r>
              <w:rPr>
                <w:noProof/>
              </w:rPr>
              <w:t xml:space="preserve"> for UE processing time (N1,N2)</w:t>
            </w:r>
            <w:bookmarkEnd w:id="2"/>
          </w:p>
          <w:tbl>
            <w:tblPr>
              <w:tblStyle w:val="TableGrid"/>
              <w:tblW w:w="0" w:type="auto"/>
              <w:tblLook w:val="04A0" w:firstRow="1" w:lastRow="0" w:firstColumn="1" w:lastColumn="0" w:noHBand="0" w:noVBand="1"/>
            </w:tblPr>
            <w:tblGrid>
              <w:gridCol w:w="1471"/>
              <w:gridCol w:w="3992"/>
              <w:gridCol w:w="4273"/>
            </w:tblGrid>
            <w:tr w:rsidR="003C3917" w:rsidTr="00E24538">
              <w:tc>
                <w:tcPr>
                  <w:tcW w:w="1483" w:type="dxa"/>
                  <w:shd w:val="clear" w:color="auto" w:fill="5B9BD5" w:themeFill="accent1"/>
                </w:tcPr>
                <w:p w:rsidR="003C3917" w:rsidRPr="00B25018" w:rsidRDefault="003C3917" w:rsidP="003C3917">
                  <w:pPr>
                    <w:rPr>
                      <w:b/>
                      <w:color w:val="FFFFFF" w:themeColor="background1"/>
                      <w:sz w:val="18"/>
                      <w:szCs w:val="18"/>
                    </w:rPr>
                  </w:pPr>
                </w:p>
              </w:tc>
              <w:tc>
                <w:tcPr>
                  <w:tcW w:w="4092" w:type="dxa"/>
                  <w:shd w:val="clear" w:color="auto" w:fill="5B9BD5" w:themeFill="accent1"/>
                </w:tcPr>
                <w:p w:rsidR="003C3917" w:rsidRPr="00B25018" w:rsidRDefault="003C3917" w:rsidP="003C3917">
                  <w:pPr>
                    <w:rPr>
                      <w:b/>
                      <w:color w:val="FFFFFF" w:themeColor="background1"/>
                      <w:sz w:val="18"/>
                      <w:szCs w:val="18"/>
                    </w:rPr>
                  </w:pPr>
                  <w:r w:rsidRPr="00B25018">
                    <w:rPr>
                      <w:b/>
                      <w:color w:val="FFFFFF" w:themeColor="background1"/>
                      <w:sz w:val="18"/>
                      <w:szCs w:val="18"/>
                    </w:rPr>
                    <w:t>N1</w:t>
                  </w:r>
                </w:p>
              </w:tc>
              <w:tc>
                <w:tcPr>
                  <w:tcW w:w="4387" w:type="dxa"/>
                  <w:shd w:val="clear" w:color="auto" w:fill="5B9BD5" w:themeFill="accent1"/>
                </w:tcPr>
                <w:p w:rsidR="003C3917" w:rsidRPr="00B25018" w:rsidRDefault="003C3917" w:rsidP="003C3917">
                  <w:pPr>
                    <w:rPr>
                      <w:b/>
                      <w:color w:val="FFFFFF" w:themeColor="background1"/>
                      <w:sz w:val="18"/>
                      <w:szCs w:val="18"/>
                    </w:rPr>
                  </w:pPr>
                  <w:r w:rsidRPr="00B25018">
                    <w:rPr>
                      <w:b/>
                      <w:color w:val="FFFFFF" w:themeColor="background1"/>
                      <w:sz w:val="18"/>
                      <w:szCs w:val="18"/>
                    </w:rPr>
                    <w:t>N2</w:t>
                  </w:r>
                </w:p>
              </w:tc>
            </w:tr>
            <w:tr w:rsidR="003C3917" w:rsidTr="00E24538">
              <w:trPr>
                <w:trHeight w:val="5007"/>
              </w:trPr>
              <w:tc>
                <w:tcPr>
                  <w:tcW w:w="1483" w:type="dxa"/>
                  <w:shd w:val="clear" w:color="auto" w:fill="5B9BD5" w:themeFill="accent1"/>
                </w:tcPr>
                <w:p w:rsidR="003C3917" w:rsidRPr="00B25018" w:rsidRDefault="003C3917" w:rsidP="003C3917">
                  <w:pPr>
                    <w:rPr>
                      <w:b/>
                      <w:color w:val="FFFFFF" w:themeColor="background1"/>
                      <w:sz w:val="18"/>
                      <w:szCs w:val="18"/>
                    </w:rPr>
                  </w:pPr>
                  <w:r w:rsidRPr="00B25018">
                    <w:rPr>
                      <w:b/>
                      <w:color w:val="FFFFFF" w:themeColor="background1"/>
                      <w:sz w:val="18"/>
                      <w:szCs w:val="18"/>
                    </w:rPr>
                    <w:t>Nominal assumption</w:t>
                  </w:r>
                  <w:r>
                    <w:rPr>
                      <w:b/>
                      <w:color w:val="FFFFFF" w:themeColor="background1"/>
                      <w:sz w:val="18"/>
                      <w:szCs w:val="18"/>
                    </w:rPr>
                    <w:t>s</w:t>
                  </w:r>
                  <w:r w:rsidRPr="003809BE">
                    <w:rPr>
                      <w:b/>
                      <w:color w:val="FFFFFF" w:themeColor="background1"/>
                      <w:sz w:val="18"/>
                      <w:szCs w:val="18"/>
                      <w:vertAlign w:val="superscript"/>
                    </w:rPr>
                    <w:t>1</w:t>
                  </w:r>
                </w:p>
              </w:tc>
              <w:tc>
                <w:tcPr>
                  <w:tcW w:w="4092" w:type="dxa"/>
                </w:tcPr>
                <w:p w:rsidR="003C3917" w:rsidRPr="00B25018" w:rsidRDefault="003C3917" w:rsidP="003C3917">
                  <w:pPr>
                    <w:rPr>
                      <w:sz w:val="18"/>
                      <w:szCs w:val="18"/>
                    </w:rPr>
                  </w:pPr>
                  <w:r w:rsidRPr="00B25018">
                    <w:rPr>
                      <w:sz w:val="18"/>
                      <w:szCs w:val="18"/>
                    </w:rPr>
                    <w:t>Single carrier / Single BWP / Single TRP</w:t>
                  </w:r>
                </w:p>
                <w:p w:rsidR="003C3917" w:rsidRPr="00B25018" w:rsidRDefault="003C3917" w:rsidP="003C3917">
                  <w:pPr>
                    <w:pStyle w:val="ListParagraph"/>
                    <w:numPr>
                      <w:ilvl w:val="0"/>
                      <w:numId w:val="7"/>
                    </w:numPr>
                    <w:spacing w:before="120"/>
                    <w:rPr>
                      <w:rFonts w:ascii="Times New Roman" w:hAnsi="Times New Roman"/>
                      <w:sz w:val="18"/>
                      <w:szCs w:val="18"/>
                    </w:rPr>
                  </w:pPr>
                  <w:r>
                    <w:rPr>
                      <w:rFonts w:ascii="Times New Roman" w:hAnsi="Times New Roman"/>
                      <w:sz w:val="18"/>
                      <w:szCs w:val="18"/>
                    </w:rPr>
                    <w:t>Max TBS (</w:t>
                  </w:r>
                  <w:r w:rsidRPr="00B25018">
                    <w:rPr>
                      <w:rFonts w:ascii="Times New Roman" w:hAnsi="Times New Roman"/>
                      <w:sz w:val="18"/>
                      <w:szCs w:val="18"/>
                    </w:rPr>
                    <w:t>o</w:t>
                  </w:r>
                  <w:r>
                    <w:rPr>
                      <w:rFonts w:ascii="Times New Roman" w:hAnsi="Times New Roman"/>
                      <w:sz w:val="18"/>
                      <w:szCs w:val="18"/>
                    </w:rPr>
                    <w:t>r spectral efficiency)</w:t>
                  </w:r>
                  <w:r w:rsidRPr="00B25018">
                    <w:rPr>
                      <w:rFonts w:ascii="Times New Roman" w:hAnsi="Times New Roman"/>
                      <w:sz w:val="18"/>
                      <w:szCs w:val="18"/>
                    </w:rPr>
                    <w:t xml:space="preserve"> for 4-layer MIMO and 256-QAM</w:t>
                  </w:r>
                </w:p>
                <w:p w:rsidR="003C3917" w:rsidRPr="00B25018" w:rsidRDefault="003C3917" w:rsidP="003C3917">
                  <w:pPr>
                    <w:rPr>
                      <w:sz w:val="18"/>
                      <w:szCs w:val="18"/>
                    </w:rPr>
                  </w:pPr>
                  <w:r w:rsidRPr="00B25018">
                    <w:rPr>
                      <w:sz w:val="18"/>
                      <w:szCs w:val="18"/>
                    </w:rPr>
                    <w:t>PDSCH</w:t>
                  </w:r>
                </w:p>
                <w:p w:rsidR="003C3917" w:rsidRPr="00B25018" w:rsidRDefault="003C3917" w:rsidP="003C3917">
                  <w:pPr>
                    <w:pStyle w:val="ListParagraph"/>
                    <w:numPr>
                      <w:ilvl w:val="0"/>
                      <w:numId w:val="7"/>
                    </w:numPr>
                    <w:spacing w:before="120"/>
                    <w:rPr>
                      <w:rFonts w:ascii="Times New Roman" w:hAnsi="Times New Roman"/>
                      <w:sz w:val="18"/>
                      <w:szCs w:val="18"/>
                    </w:rPr>
                  </w:pPr>
                  <w:r w:rsidRPr="00B25018">
                    <w:rPr>
                      <w:rFonts w:ascii="Times New Roman" w:hAnsi="Times New Roman"/>
                      <w:sz w:val="18"/>
                      <w:szCs w:val="18"/>
                    </w:rPr>
                    <w:t>14-symbol slot-based scheduling</w:t>
                  </w:r>
                </w:p>
                <w:p w:rsidR="003C3917" w:rsidRPr="00B25018" w:rsidRDefault="003C3917" w:rsidP="003C3917">
                  <w:pPr>
                    <w:pStyle w:val="ListParagraph"/>
                    <w:numPr>
                      <w:ilvl w:val="0"/>
                      <w:numId w:val="7"/>
                    </w:numPr>
                    <w:spacing w:before="120"/>
                    <w:rPr>
                      <w:rFonts w:ascii="Times New Roman" w:hAnsi="Times New Roman"/>
                      <w:sz w:val="18"/>
                      <w:szCs w:val="18"/>
                    </w:rPr>
                  </w:pPr>
                  <w:r w:rsidRPr="00B25018">
                    <w:rPr>
                      <w:rFonts w:ascii="Times New Roman" w:hAnsi="Times New Roman"/>
                      <w:sz w:val="18"/>
                      <w:szCs w:val="18"/>
                    </w:rPr>
                    <w:t>Frequency-first RE-mapping, no time-interleaving of CBs across TB</w:t>
                  </w:r>
                </w:p>
                <w:p w:rsidR="003C3917" w:rsidRPr="00B25018" w:rsidRDefault="003C3917" w:rsidP="003C3917">
                  <w:pPr>
                    <w:rPr>
                      <w:sz w:val="18"/>
                      <w:szCs w:val="18"/>
                    </w:rPr>
                  </w:pPr>
                  <w:r w:rsidRPr="00B25018">
                    <w:rPr>
                      <w:sz w:val="18"/>
                      <w:szCs w:val="18"/>
                    </w:rPr>
                    <w:t>PDCCH</w:t>
                  </w:r>
                </w:p>
                <w:p w:rsidR="003C3917" w:rsidRPr="00B25018" w:rsidRDefault="003C3917" w:rsidP="003C3917">
                  <w:pPr>
                    <w:pStyle w:val="ListParagraph"/>
                    <w:numPr>
                      <w:ilvl w:val="0"/>
                      <w:numId w:val="7"/>
                    </w:numPr>
                    <w:spacing w:before="120"/>
                    <w:rPr>
                      <w:rFonts w:ascii="Times New Roman" w:hAnsi="Times New Roman"/>
                      <w:sz w:val="18"/>
                      <w:szCs w:val="18"/>
                    </w:rPr>
                  </w:pPr>
                  <w:r w:rsidRPr="00B25018">
                    <w:rPr>
                      <w:rFonts w:ascii="Times New Roman" w:hAnsi="Times New Roman"/>
                      <w:sz w:val="18"/>
                      <w:szCs w:val="18"/>
                    </w:rPr>
                    <w:t>Same numerology / BWP as PDSCH</w:t>
                  </w:r>
                </w:p>
                <w:p w:rsidR="003C3917" w:rsidRPr="00B25018" w:rsidRDefault="003C3917" w:rsidP="003C3917">
                  <w:pPr>
                    <w:pStyle w:val="ListParagraph"/>
                    <w:numPr>
                      <w:ilvl w:val="0"/>
                      <w:numId w:val="7"/>
                    </w:numPr>
                    <w:spacing w:before="120"/>
                    <w:rPr>
                      <w:rFonts w:ascii="Times New Roman" w:hAnsi="Times New Roman"/>
                      <w:sz w:val="18"/>
                      <w:szCs w:val="18"/>
                    </w:rPr>
                  </w:pPr>
                  <w:r w:rsidRPr="00B25018">
                    <w:rPr>
                      <w:rFonts w:ascii="Times New Roman" w:hAnsi="Times New Roman"/>
                      <w:sz w:val="18"/>
                      <w:szCs w:val="18"/>
                    </w:rPr>
                    <w:t>PDSCH does not precede PDCCH</w:t>
                  </w:r>
                </w:p>
                <w:p w:rsidR="003C3917" w:rsidRPr="00B25018" w:rsidRDefault="003C3917" w:rsidP="003C3917">
                  <w:pPr>
                    <w:pStyle w:val="ListParagraph"/>
                    <w:numPr>
                      <w:ilvl w:val="0"/>
                      <w:numId w:val="7"/>
                    </w:numPr>
                    <w:spacing w:before="120"/>
                    <w:rPr>
                      <w:rFonts w:ascii="Times New Roman" w:hAnsi="Times New Roman"/>
                      <w:sz w:val="18"/>
                      <w:szCs w:val="18"/>
                    </w:rPr>
                  </w:pPr>
                  <w:r w:rsidRPr="00B25018">
                    <w:rPr>
                      <w:rFonts w:ascii="Times New Roman" w:hAnsi="Times New Roman"/>
                      <w:sz w:val="18"/>
                      <w:szCs w:val="18"/>
                    </w:rPr>
                    <w:t>Single grant monitored for PDSCH</w:t>
                  </w:r>
                </w:p>
                <w:p w:rsidR="003C3917" w:rsidRPr="00B25018" w:rsidRDefault="003C3917" w:rsidP="003C3917">
                  <w:pPr>
                    <w:pStyle w:val="ListParagraph"/>
                    <w:numPr>
                      <w:ilvl w:val="0"/>
                      <w:numId w:val="7"/>
                    </w:numPr>
                    <w:spacing w:before="120"/>
                    <w:rPr>
                      <w:rFonts w:ascii="Times New Roman" w:hAnsi="Times New Roman"/>
                      <w:sz w:val="18"/>
                      <w:szCs w:val="18"/>
                    </w:rPr>
                  </w:pPr>
                  <w:r w:rsidRPr="00B25018">
                    <w:rPr>
                      <w:rFonts w:ascii="Times New Roman" w:hAnsi="Times New Roman"/>
                      <w:sz w:val="18"/>
                      <w:szCs w:val="18"/>
                    </w:rPr>
                    <w:t>20 blind decodes, single symbol</w:t>
                  </w:r>
                </w:p>
                <w:p w:rsidR="003C3917" w:rsidRPr="00B25018" w:rsidRDefault="003C3917" w:rsidP="003C3917">
                  <w:pPr>
                    <w:rPr>
                      <w:sz w:val="18"/>
                      <w:szCs w:val="18"/>
                    </w:rPr>
                  </w:pPr>
                  <w:r w:rsidRPr="00B25018">
                    <w:rPr>
                      <w:sz w:val="18"/>
                      <w:szCs w:val="18"/>
                    </w:rPr>
                    <w:t xml:space="preserve">PUSCH/PUCCH </w:t>
                  </w:r>
                </w:p>
                <w:p w:rsidR="003C3917" w:rsidRPr="00B25018" w:rsidRDefault="003C3917" w:rsidP="003C3917">
                  <w:pPr>
                    <w:pStyle w:val="ListParagraph"/>
                    <w:numPr>
                      <w:ilvl w:val="0"/>
                      <w:numId w:val="7"/>
                    </w:numPr>
                    <w:spacing w:before="120"/>
                    <w:rPr>
                      <w:rFonts w:ascii="Times New Roman" w:hAnsi="Times New Roman"/>
                      <w:sz w:val="18"/>
                      <w:szCs w:val="18"/>
                    </w:rPr>
                  </w:pPr>
                  <w:r>
                    <w:rPr>
                      <w:rFonts w:ascii="Times New Roman" w:hAnsi="Times New Roman"/>
                      <w:sz w:val="18"/>
                      <w:szCs w:val="18"/>
                    </w:rPr>
                    <w:t>Short f</w:t>
                  </w:r>
                  <w:r w:rsidRPr="00B25018">
                    <w:rPr>
                      <w:rFonts w:ascii="Times New Roman" w:hAnsi="Times New Roman"/>
                      <w:sz w:val="18"/>
                      <w:szCs w:val="18"/>
                    </w:rPr>
                    <w:t xml:space="preserve">ormats </w:t>
                  </w:r>
                  <w:r>
                    <w:rPr>
                      <w:rFonts w:ascii="Times New Roman" w:hAnsi="Times New Roman"/>
                      <w:sz w:val="18"/>
                      <w:szCs w:val="18"/>
                    </w:rPr>
                    <w:t>for</w:t>
                  </w:r>
                  <w:r w:rsidRPr="00B25018">
                    <w:rPr>
                      <w:rFonts w:ascii="Times New Roman" w:hAnsi="Times New Roman"/>
                      <w:sz w:val="18"/>
                      <w:szCs w:val="18"/>
                    </w:rPr>
                    <w:t xml:space="preserve"> HARQ-ACK</w:t>
                  </w:r>
                </w:p>
              </w:tc>
              <w:tc>
                <w:tcPr>
                  <w:tcW w:w="4387" w:type="dxa"/>
                </w:tcPr>
                <w:p w:rsidR="003C3917" w:rsidRPr="0091440F" w:rsidRDefault="003C3917" w:rsidP="003C3917">
                  <w:pPr>
                    <w:rPr>
                      <w:sz w:val="18"/>
                      <w:szCs w:val="18"/>
                    </w:rPr>
                  </w:pPr>
                  <w:r w:rsidRPr="0091440F">
                    <w:rPr>
                      <w:sz w:val="18"/>
                      <w:szCs w:val="18"/>
                    </w:rPr>
                    <w:t>Single carrier / Single BWP / Single TRP</w:t>
                  </w:r>
                </w:p>
                <w:p w:rsidR="003C3917" w:rsidRPr="0091440F" w:rsidRDefault="003C3917" w:rsidP="003C3917">
                  <w:pPr>
                    <w:numPr>
                      <w:ilvl w:val="0"/>
                      <w:numId w:val="7"/>
                    </w:numPr>
                    <w:spacing w:before="120"/>
                    <w:jc w:val="both"/>
                    <w:rPr>
                      <w:sz w:val="18"/>
                      <w:szCs w:val="18"/>
                    </w:rPr>
                  </w:pPr>
                  <w:r w:rsidRPr="0091440F">
                    <w:rPr>
                      <w:sz w:val="18"/>
                      <w:szCs w:val="18"/>
                    </w:rPr>
                    <w:t xml:space="preserve">Max TBS (or spectral efficiency) for </w:t>
                  </w:r>
                  <w:r>
                    <w:rPr>
                      <w:sz w:val="18"/>
                      <w:szCs w:val="18"/>
                    </w:rPr>
                    <w:t>2-layer and 64</w:t>
                  </w:r>
                  <w:r w:rsidRPr="0091440F">
                    <w:rPr>
                      <w:sz w:val="18"/>
                      <w:szCs w:val="18"/>
                    </w:rPr>
                    <w:t>-QAM</w:t>
                  </w:r>
                </w:p>
                <w:p w:rsidR="003C3917" w:rsidRPr="0091440F" w:rsidRDefault="003C3917" w:rsidP="003C3917">
                  <w:pPr>
                    <w:rPr>
                      <w:sz w:val="18"/>
                      <w:szCs w:val="18"/>
                    </w:rPr>
                  </w:pPr>
                  <w:r w:rsidRPr="0091440F">
                    <w:rPr>
                      <w:sz w:val="18"/>
                      <w:szCs w:val="18"/>
                    </w:rPr>
                    <w:t>P</w:t>
                  </w:r>
                  <w:r>
                    <w:rPr>
                      <w:sz w:val="18"/>
                      <w:szCs w:val="18"/>
                    </w:rPr>
                    <w:t>U</w:t>
                  </w:r>
                  <w:r w:rsidRPr="0091440F">
                    <w:rPr>
                      <w:sz w:val="18"/>
                      <w:szCs w:val="18"/>
                    </w:rPr>
                    <w:t>SCH</w:t>
                  </w:r>
                </w:p>
                <w:p w:rsidR="003C3917" w:rsidRPr="0091440F" w:rsidRDefault="003C3917" w:rsidP="003C3917">
                  <w:pPr>
                    <w:numPr>
                      <w:ilvl w:val="0"/>
                      <w:numId w:val="7"/>
                    </w:numPr>
                    <w:spacing w:before="120"/>
                    <w:jc w:val="both"/>
                    <w:rPr>
                      <w:sz w:val="18"/>
                      <w:szCs w:val="18"/>
                    </w:rPr>
                  </w:pPr>
                  <w:r w:rsidRPr="0091440F">
                    <w:rPr>
                      <w:sz w:val="18"/>
                      <w:szCs w:val="18"/>
                    </w:rPr>
                    <w:t>14-symbol slot-based scheduling</w:t>
                  </w:r>
                </w:p>
                <w:p w:rsidR="003C3917" w:rsidRPr="0091440F" w:rsidRDefault="003C3917" w:rsidP="003C3917">
                  <w:pPr>
                    <w:numPr>
                      <w:ilvl w:val="0"/>
                      <w:numId w:val="7"/>
                    </w:numPr>
                    <w:spacing w:before="120"/>
                    <w:jc w:val="both"/>
                    <w:rPr>
                      <w:sz w:val="18"/>
                      <w:szCs w:val="18"/>
                    </w:rPr>
                  </w:pPr>
                  <w:r w:rsidRPr="0091440F">
                    <w:rPr>
                      <w:sz w:val="18"/>
                      <w:szCs w:val="18"/>
                    </w:rPr>
                    <w:t>No time-interleaving of CBs across TB</w:t>
                  </w:r>
                </w:p>
                <w:p w:rsidR="003C3917" w:rsidRPr="0091440F" w:rsidRDefault="003C3917" w:rsidP="003C3917">
                  <w:pPr>
                    <w:rPr>
                      <w:sz w:val="18"/>
                      <w:szCs w:val="18"/>
                    </w:rPr>
                  </w:pPr>
                  <w:r w:rsidRPr="0091440F">
                    <w:rPr>
                      <w:sz w:val="18"/>
                      <w:szCs w:val="18"/>
                    </w:rPr>
                    <w:t>PDCCH</w:t>
                  </w:r>
                </w:p>
                <w:p w:rsidR="003C3917" w:rsidRPr="0091440F" w:rsidRDefault="003C3917" w:rsidP="003C3917">
                  <w:pPr>
                    <w:numPr>
                      <w:ilvl w:val="0"/>
                      <w:numId w:val="7"/>
                    </w:numPr>
                    <w:spacing w:before="120"/>
                    <w:jc w:val="both"/>
                    <w:rPr>
                      <w:sz w:val="18"/>
                      <w:szCs w:val="18"/>
                    </w:rPr>
                  </w:pPr>
                  <w:r w:rsidRPr="0091440F">
                    <w:rPr>
                      <w:sz w:val="18"/>
                      <w:szCs w:val="18"/>
                    </w:rPr>
                    <w:t>Same numerology / BWP as PUSCH</w:t>
                  </w:r>
                </w:p>
                <w:p w:rsidR="003C3917" w:rsidRPr="0091440F" w:rsidRDefault="003C3917" w:rsidP="003C3917">
                  <w:pPr>
                    <w:numPr>
                      <w:ilvl w:val="0"/>
                      <w:numId w:val="7"/>
                    </w:numPr>
                    <w:spacing w:before="120"/>
                    <w:jc w:val="both"/>
                    <w:rPr>
                      <w:sz w:val="18"/>
                      <w:szCs w:val="18"/>
                    </w:rPr>
                  </w:pPr>
                  <w:r w:rsidRPr="0091440F">
                    <w:rPr>
                      <w:sz w:val="18"/>
                      <w:szCs w:val="18"/>
                    </w:rPr>
                    <w:t>Single grant monitored for PUSCH</w:t>
                  </w:r>
                </w:p>
                <w:p w:rsidR="003C3917" w:rsidRPr="0091440F" w:rsidRDefault="003C3917" w:rsidP="003C3917">
                  <w:pPr>
                    <w:numPr>
                      <w:ilvl w:val="0"/>
                      <w:numId w:val="7"/>
                    </w:numPr>
                    <w:spacing w:before="120"/>
                    <w:jc w:val="both"/>
                    <w:rPr>
                      <w:sz w:val="18"/>
                      <w:szCs w:val="18"/>
                    </w:rPr>
                  </w:pPr>
                  <w:r>
                    <w:rPr>
                      <w:sz w:val="18"/>
                      <w:szCs w:val="18"/>
                    </w:rPr>
                    <w:t>20</w:t>
                  </w:r>
                  <w:r w:rsidRPr="0091440F">
                    <w:rPr>
                      <w:sz w:val="18"/>
                      <w:szCs w:val="18"/>
                    </w:rPr>
                    <w:t xml:space="preserve"> blind decoding, single symbol</w:t>
                  </w:r>
                </w:p>
                <w:p w:rsidR="003C3917" w:rsidRPr="0091440F" w:rsidRDefault="003C3917" w:rsidP="003C3917">
                  <w:pPr>
                    <w:rPr>
                      <w:sz w:val="18"/>
                      <w:szCs w:val="18"/>
                    </w:rPr>
                  </w:pPr>
                  <w:r w:rsidRPr="0091440F">
                    <w:rPr>
                      <w:sz w:val="18"/>
                      <w:szCs w:val="18"/>
                    </w:rPr>
                    <w:t>PUSCH</w:t>
                  </w:r>
                </w:p>
                <w:p w:rsidR="003C3917" w:rsidRPr="0091440F" w:rsidRDefault="003C3917" w:rsidP="003C3917">
                  <w:pPr>
                    <w:numPr>
                      <w:ilvl w:val="0"/>
                      <w:numId w:val="7"/>
                    </w:numPr>
                    <w:spacing w:before="120"/>
                    <w:jc w:val="both"/>
                    <w:rPr>
                      <w:sz w:val="18"/>
                      <w:szCs w:val="18"/>
                    </w:rPr>
                  </w:pPr>
                  <w:r w:rsidRPr="0091440F">
                    <w:rPr>
                      <w:sz w:val="18"/>
                      <w:szCs w:val="18"/>
                    </w:rPr>
                    <w:t>UCI multiplexing, DFTsOFDM and OFDM</w:t>
                  </w:r>
                </w:p>
                <w:p w:rsidR="003C3917" w:rsidRPr="00924E18" w:rsidRDefault="003C3917" w:rsidP="003C3917">
                  <w:pPr>
                    <w:numPr>
                      <w:ilvl w:val="0"/>
                      <w:numId w:val="7"/>
                    </w:numPr>
                    <w:spacing w:before="120"/>
                    <w:jc w:val="both"/>
                    <w:rPr>
                      <w:sz w:val="18"/>
                      <w:szCs w:val="18"/>
                    </w:rPr>
                  </w:pPr>
                  <w:r>
                    <w:rPr>
                      <w:sz w:val="18"/>
                      <w:szCs w:val="18"/>
                    </w:rPr>
                    <w:t xml:space="preserve">Front loaded </w:t>
                  </w:r>
                  <w:r w:rsidRPr="0091440F">
                    <w:rPr>
                      <w:sz w:val="18"/>
                      <w:szCs w:val="18"/>
                    </w:rPr>
                    <w:t xml:space="preserve">DMRS </w:t>
                  </w:r>
                  <w:r>
                    <w:rPr>
                      <w:sz w:val="18"/>
                      <w:szCs w:val="18"/>
                    </w:rPr>
                    <w:t>for low latency</w:t>
                  </w:r>
                </w:p>
              </w:tc>
            </w:tr>
            <w:tr w:rsidR="003C3917" w:rsidTr="00E24538">
              <w:tc>
                <w:tcPr>
                  <w:tcW w:w="1483" w:type="dxa"/>
                  <w:shd w:val="clear" w:color="auto" w:fill="5B9BD5" w:themeFill="accent1"/>
                </w:tcPr>
                <w:p w:rsidR="003C3917" w:rsidRPr="00924E18" w:rsidRDefault="003C3917" w:rsidP="003C3917">
                  <w:pPr>
                    <w:rPr>
                      <w:b/>
                      <w:color w:val="FFFFFF" w:themeColor="background1"/>
                      <w:sz w:val="18"/>
                      <w:szCs w:val="18"/>
                    </w:rPr>
                  </w:pPr>
                  <w:r w:rsidRPr="00924E18">
                    <w:rPr>
                      <w:b/>
                      <w:color w:val="FFFFFF" w:themeColor="background1"/>
                      <w:sz w:val="18"/>
                      <w:szCs w:val="18"/>
                    </w:rPr>
                    <w:t xml:space="preserve">Candidate factors </w:t>
                  </w:r>
                </w:p>
              </w:tc>
              <w:tc>
                <w:tcPr>
                  <w:tcW w:w="4092" w:type="dxa"/>
                </w:tcPr>
                <w:p w:rsidR="003C3917" w:rsidRPr="00924E18" w:rsidRDefault="003C3917" w:rsidP="003C3917">
                  <w:pPr>
                    <w:pStyle w:val="ListParagraph"/>
                    <w:numPr>
                      <w:ilvl w:val="0"/>
                      <w:numId w:val="9"/>
                    </w:numPr>
                    <w:spacing w:before="120"/>
                    <w:jc w:val="both"/>
                    <w:rPr>
                      <w:rFonts w:ascii="Times New Roman" w:hAnsi="Times New Roman"/>
                      <w:sz w:val="18"/>
                      <w:szCs w:val="18"/>
                    </w:rPr>
                  </w:pPr>
                  <w:r w:rsidRPr="00924E18">
                    <w:rPr>
                      <w:rFonts w:ascii="Times New Roman" w:hAnsi="Times New Roman"/>
                      <w:sz w:val="18"/>
                      <w:szCs w:val="18"/>
                    </w:rPr>
                    <w:t>SCS</w:t>
                  </w:r>
                </w:p>
                <w:p w:rsidR="003C3917" w:rsidRPr="00924E18" w:rsidRDefault="003C3917" w:rsidP="003C3917">
                  <w:pPr>
                    <w:pStyle w:val="ListParagraph"/>
                    <w:numPr>
                      <w:ilvl w:val="0"/>
                      <w:numId w:val="9"/>
                    </w:numPr>
                    <w:spacing w:before="120"/>
                    <w:jc w:val="both"/>
                    <w:rPr>
                      <w:rFonts w:ascii="Times New Roman" w:hAnsi="Times New Roman"/>
                      <w:sz w:val="18"/>
                      <w:szCs w:val="18"/>
                    </w:rPr>
                  </w:pPr>
                  <w:r w:rsidRPr="00924E18">
                    <w:rPr>
                      <w:rFonts w:ascii="Times New Roman" w:hAnsi="Times New Roman"/>
                      <w:sz w:val="18"/>
                      <w:szCs w:val="18"/>
                    </w:rPr>
                    <w:t>DMRS configuration</w:t>
                  </w:r>
                </w:p>
              </w:tc>
              <w:tc>
                <w:tcPr>
                  <w:tcW w:w="4387" w:type="dxa"/>
                </w:tcPr>
                <w:p w:rsidR="003C3917" w:rsidRPr="00924E18" w:rsidRDefault="003C3917" w:rsidP="003C3917">
                  <w:pPr>
                    <w:pStyle w:val="ListParagraph"/>
                    <w:numPr>
                      <w:ilvl w:val="0"/>
                      <w:numId w:val="8"/>
                    </w:numPr>
                    <w:spacing w:before="120"/>
                    <w:jc w:val="both"/>
                    <w:rPr>
                      <w:rFonts w:ascii="Times New Roman" w:hAnsi="Times New Roman"/>
                      <w:sz w:val="18"/>
                      <w:szCs w:val="18"/>
                    </w:rPr>
                  </w:pPr>
                  <w:r w:rsidRPr="00924E18">
                    <w:rPr>
                      <w:rFonts w:ascii="Times New Roman" w:hAnsi="Times New Roman"/>
                      <w:sz w:val="18"/>
                      <w:szCs w:val="18"/>
                    </w:rPr>
                    <w:t>SCS</w:t>
                  </w:r>
                </w:p>
                <w:p w:rsidR="003C3917" w:rsidRPr="00924E18" w:rsidRDefault="003C3917" w:rsidP="003C3917">
                  <w:pPr>
                    <w:pStyle w:val="ListParagraph"/>
                    <w:numPr>
                      <w:ilvl w:val="0"/>
                      <w:numId w:val="8"/>
                    </w:numPr>
                    <w:spacing w:before="120"/>
                    <w:jc w:val="both"/>
                    <w:rPr>
                      <w:rFonts w:ascii="Times New Roman" w:hAnsi="Times New Roman"/>
                      <w:sz w:val="18"/>
                      <w:szCs w:val="18"/>
                    </w:rPr>
                  </w:pPr>
                  <w:r>
                    <w:rPr>
                      <w:rFonts w:ascii="Times New Roman" w:hAnsi="Times New Roman"/>
                      <w:sz w:val="18"/>
                      <w:szCs w:val="18"/>
                    </w:rPr>
                    <w:t>RE-mapping (depending on specification)</w:t>
                  </w:r>
                  <w:r>
                    <w:rPr>
                      <w:rFonts w:ascii="Times New Roman" w:hAnsi="Times New Roman"/>
                      <w:sz w:val="18"/>
                      <w:szCs w:val="18"/>
                      <w:vertAlign w:val="superscript"/>
                    </w:rPr>
                    <w:t>2</w:t>
                  </w:r>
                  <w:r>
                    <w:rPr>
                      <w:rFonts w:ascii="Times New Roman" w:hAnsi="Times New Roman"/>
                      <w:sz w:val="18"/>
                      <w:szCs w:val="18"/>
                    </w:rPr>
                    <w:t xml:space="preserve"> </w:t>
                  </w:r>
                </w:p>
              </w:tc>
            </w:tr>
          </w:tbl>
          <w:p w:rsidR="003C3917" w:rsidRPr="003C3917" w:rsidRDefault="003C3917" w:rsidP="003C3917">
            <w:pPr>
              <w:ind w:left="450"/>
            </w:pPr>
            <w:r w:rsidRPr="003809BE">
              <w:rPr>
                <w:vertAlign w:val="superscript"/>
              </w:rPr>
              <w:t>1</w:t>
            </w:r>
            <w:r>
              <w:t>These are examples provided for illustration. Any nominal assumptions which differ from the list or otherwise are not included, can also be provided for context on the evaluation.</w:t>
            </w:r>
            <w:r>
              <w:br/>
            </w:r>
            <w:r w:rsidRPr="00CE151F">
              <w:rPr>
                <w:vertAlign w:val="superscript"/>
              </w:rPr>
              <w:t>2</w:t>
            </w:r>
            <w:r>
              <w:t>Preferred RE-mappings may be specified in cases where decisions are pending.</w:t>
            </w:r>
          </w:p>
        </w:tc>
      </w:tr>
    </w:tbl>
    <w:p w:rsidR="003C3917" w:rsidRDefault="003C3917" w:rsidP="00A3528B">
      <w:pPr>
        <w:rPr>
          <w:lang w:val="en-GB"/>
        </w:rPr>
      </w:pPr>
    </w:p>
    <w:p w:rsidR="00E3246F" w:rsidRDefault="00E3246F" w:rsidP="00A3528B">
      <w:pPr>
        <w:rPr>
          <w:lang w:val="en-GB"/>
        </w:rPr>
      </w:pPr>
      <w:r>
        <w:rPr>
          <w:lang w:val="en-GB"/>
        </w:rPr>
        <w:t>In our view, this is a reasonable way forward and only a few additional aspects should be further clarified towards ensuring the original goal of this exercise. These are summarized below:</w:t>
      </w:r>
    </w:p>
    <w:p w:rsidR="00E3246F" w:rsidRDefault="00E3246F" w:rsidP="00E3246F">
      <w:pPr>
        <w:pStyle w:val="ListParagraph"/>
        <w:numPr>
          <w:ilvl w:val="0"/>
          <w:numId w:val="11"/>
        </w:numPr>
        <w:rPr>
          <w:rFonts w:ascii="Times New Roman" w:hAnsi="Times New Roman"/>
          <w:sz w:val="20"/>
          <w:szCs w:val="20"/>
          <w:lang w:val="en-GB"/>
        </w:rPr>
      </w:pPr>
      <w:r w:rsidRPr="00E3246F">
        <w:rPr>
          <w:rFonts w:ascii="Times New Roman" w:hAnsi="Times New Roman"/>
          <w:sz w:val="20"/>
          <w:szCs w:val="20"/>
          <w:lang w:val="en-GB"/>
        </w:rPr>
        <w:t>Determination of max TBS as part of nominal assumptions</w:t>
      </w:r>
      <w:r w:rsidR="0055162F">
        <w:rPr>
          <w:rFonts w:ascii="Times New Roman" w:hAnsi="Times New Roman"/>
          <w:sz w:val="20"/>
          <w:szCs w:val="20"/>
          <w:lang w:val="en-GB"/>
        </w:rPr>
        <w:t xml:space="preserve"> for N1</w:t>
      </w:r>
      <w:r w:rsidR="00E24538">
        <w:rPr>
          <w:rFonts w:ascii="Times New Roman" w:hAnsi="Times New Roman"/>
          <w:sz w:val="20"/>
          <w:szCs w:val="20"/>
          <w:lang w:val="en-GB"/>
        </w:rPr>
        <w:t xml:space="preserve"> and N2</w:t>
      </w:r>
    </w:p>
    <w:p w:rsidR="00FA6B26" w:rsidRPr="00E3246F" w:rsidRDefault="00FA6B26" w:rsidP="00FA6B26">
      <w:pPr>
        <w:pStyle w:val="ListParagraph"/>
        <w:numPr>
          <w:ilvl w:val="1"/>
          <w:numId w:val="11"/>
        </w:numPr>
        <w:rPr>
          <w:rFonts w:ascii="Times New Roman" w:hAnsi="Times New Roman"/>
          <w:sz w:val="20"/>
          <w:szCs w:val="20"/>
          <w:lang w:val="en-GB"/>
        </w:rPr>
      </w:pPr>
      <w:r>
        <w:rPr>
          <w:rFonts w:ascii="Times New Roman" w:hAnsi="Times New Roman"/>
          <w:sz w:val="20"/>
          <w:szCs w:val="20"/>
          <w:lang w:val="en-GB"/>
        </w:rPr>
        <w:t xml:space="preserve">It has been suggested that max TBS (or spec. eff.) for 4-layer MIMO and 256-QAM </w:t>
      </w:r>
      <w:r w:rsidR="00E24538">
        <w:rPr>
          <w:rFonts w:ascii="Times New Roman" w:hAnsi="Times New Roman"/>
          <w:sz w:val="20"/>
          <w:szCs w:val="20"/>
          <w:lang w:val="en-GB"/>
        </w:rPr>
        <w:t>(for 2-layer MIMO and 64-QAM for N2) are</w:t>
      </w:r>
      <w:r>
        <w:rPr>
          <w:rFonts w:ascii="Times New Roman" w:hAnsi="Times New Roman"/>
          <w:sz w:val="20"/>
          <w:szCs w:val="20"/>
          <w:lang w:val="en-GB"/>
        </w:rPr>
        <w:t xml:space="preserve"> assumed. However, the max TBS as well as receiver processing efforts is also guided by the occupied channel BW. Accordingly, suitable assumptions on the considered channel BW should be included. Further, the maximum channel BW can be different for different SCS (and also carrier BW as agreed by RAN4). However, to simplify the different sets of assumptions, at least characterization based on the channel BW for the corresponding SCS should be included.</w:t>
      </w:r>
    </w:p>
    <w:p w:rsidR="00E3246F" w:rsidRDefault="00FA6B26" w:rsidP="00E3246F">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UCI multiplexing in PUSCH for N2</w:t>
      </w:r>
    </w:p>
    <w:p w:rsidR="00FA6B26" w:rsidRDefault="00FA6B26" w:rsidP="00FA6B26">
      <w:pPr>
        <w:pStyle w:val="ListParagraph"/>
        <w:numPr>
          <w:ilvl w:val="1"/>
          <w:numId w:val="11"/>
        </w:numPr>
        <w:rPr>
          <w:rFonts w:ascii="Times New Roman" w:hAnsi="Times New Roman"/>
          <w:sz w:val="20"/>
          <w:szCs w:val="20"/>
          <w:lang w:val="en-GB"/>
        </w:rPr>
      </w:pPr>
      <w:r>
        <w:rPr>
          <w:rFonts w:ascii="Times New Roman" w:hAnsi="Times New Roman"/>
          <w:sz w:val="20"/>
          <w:szCs w:val="20"/>
          <w:lang w:val="en-GB"/>
        </w:rPr>
        <w:t xml:space="preserve">It should be clarified as to whether UCI here corresponds to HARQ-ACK feedback or CSI feedback. Considerations on the processing time for CSI feedback are being discussed as part of MIMO AI, and if CSI feedback is assumed to be included in determining N2 values, appropriate additional assumptions on CSI measurements and reporting configuration is necessary. Alternatively, if “no UCI multiplexing” is </w:t>
      </w:r>
      <w:r>
        <w:rPr>
          <w:rFonts w:ascii="Times New Roman" w:hAnsi="Times New Roman"/>
          <w:sz w:val="20"/>
          <w:szCs w:val="20"/>
          <w:lang w:val="en-GB"/>
        </w:rPr>
        <w:lastRenderedPageBreak/>
        <w:t>assumed, then further discussions</w:t>
      </w:r>
      <w:r w:rsidR="00E24538">
        <w:rPr>
          <w:rFonts w:ascii="Times New Roman" w:hAnsi="Times New Roman"/>
          <w:sz w:val="20"/>
          <w:szCs w:val="20"/>
          <w:lang w:val="en-GB"/>
        </w:rPr>
        <w:t xml:space="preserve"> are needed</w:t>
      </w:r>
      <w:r>
        <w:rPr>
          <w:rFonts w:ascii="Times New Roman" w:hAnsi="Times New Roman"/>
          <w:sz w:val="20"/>
          <w:szCs w:val="20"/>
          <w:lang w:val="en-GB"/>
        </w:rPr>
        <w:t xml:space="preserve"> as to how the reported N2 values are interpreted when PUSCH is to be transmitted with CSI feedback as part of UCI multiplexing.</w:t>
      </w:r>
    </w:p>
    <w:p w:rsidR="007F5212" w:rsidRDefault="007F5212" w:rsidP="007F5212">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UCI multiplexing in PUSCH for N1</w:t>
      </w:r>
    </w:p>
    <w:p w:rsidR="007F5212" w:rsidRDefault="007F5212" w:rsidP="007F5212">
      <w:pPr>
        <w:pStyle w:val="ListParagraph"/>
        <w:numPr>
          <w:ilvl w:val="1"/>
          <w:numId w:val="11"/>
        </w:numPr>
        <w:rPr>
          <w:rFonts w:ascii="Times New Roman" w:hAnsi="Times New Roman"/>
          <w:sz w:val="20"/>
          <w:szCs w:val="20"/>
          <w:lang w:val="en-GB"/>
        </w:rPr>
      </w:pPr>
      <w:r>
        <w:rPr>
          <w:rFonts w:ascii="Times New Roman" w:hAnsi="Times New Roman"/>
          <w:sz w:val="20"/>
          <w:szCs w:val="20"/>
          <w:lang w:val="en-GB"/>
        </w:rPr>
        <w:t>It should be clarified that no CSI feedback is assumed for the case of HARQ-ACK feedback via PUSCH.</w:t>
      </w:r>
    </w:p>
    <w:p w:rsidR="008C6F7A" w:rsidRDefault="008C6F7A" w:rsidP="008C6F7A">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 xml:space="preserve">No time interleaving of CBs across TB for N2 </w:t>
      </w:r>
    </w:p>
    <w:p w:rsidR="00F757A3" w:rsidRDefault="00F757A3" w:rsidP="008C6F7A">
      <w:pPr>
        <w:pStyle w:val="ListParagraph"/>
        <w:numPr>
          <w:ilvl w:val="1"/>
          <w:numId w:val="11"/>
        </w:numPr>
        <w:rPr>
          <w:rFonts w:ascii="Times New Roman" w:hAnsi="Times New Roman"/>
          <w:sz w:val="20"/>
          <w:szCs w:val="20"/>
          <w:lang w:val="en-GB"/>
        </w:rPr>
      </w:pPr>
      <w:r>
        <w:rPr>
          <w:rFonts w:ascii="Times New Roman" w:hAnsi="Times New Roman"/>
          <w:sz w:val="20"/>
          <w:szCs w:val="20"/>
          <w:lang w:val="en-GB"/>
        </w:rPr>
        <w:t xml:space="preserve">For PUSCH, it should be clarified that </w:t>
      </w:r>
      <w:r w:rsidR="008C6F7A">
        <w:rPr>
          <w:rFonts w:ascii="Times New Roman" w:hAnsi="Times New Roman"/>
          <w:sz w:val="20"/>
          <w:szCs w:val="20"/>
          <w:lang w:val="en-GB"/>
        </w:rPr>
        <w:t>no</w:t>
      </w:r>
      <w:r>
        <w:rPr>
          <w:rFonts w:ascii="Times New Roman" w:hAnsi="Times New Roman"/>
          <w:sz w:val="20"/>
          <w:szCs w:val="20"/>
          <w:lang w:val="en-GB"/>
        </w:rPr>
        <w:t xml:space="preserve"> time-interleaving of CBs across TBs </w:t>
      </w:r>
      <w:r w:rsidR="008C6F7A">
        <w:rPr>
          <w:rFonts w:ascii="Times New Roman" w:hAnsi="Times New Roman"/>
          <w:sz w:val="20"/>
          <w:szCs w:val="20"/>
          <w:lang w:val="en-GB"/>
        </w:rPr>
        <w:t>is</w:t>
      </w:r>
      <w:r>
        <w:rPr>
          <w:rFonts w:ascii="Times New Roman" w:hAnsi="Times New Roman"/>
          <w:sz w:val="20"/>
          <w:szCs w:val="20"/>
          <w:lang w:val="en-GB"/>
        </w:rPr>
        <w:t xml:space="preserve"> ap</w:t>
      </w:r>
      <w:r w:rsidR="008C6F7A">
        <w:rPr>
          <w:rFonts w:ascii="Times New Roman" w:hAnsi="Times New Roman"/>
          <w:sz w:val="20"/>
          <w:szCs w:val="20"/>
          <w:lang w:val="en-GB"/>
        </w:rPr>
        <w:t>plied</w:t>
      </w:r>
      <w:r>
        <w:rPr>
          <w:rFonts w:ascii="Times New Roman" w:hAnsi="Times New Roman"/>
          <w:sz w:val="20"/>
          <w:szCs w:val="20"/>
          <w:lang w:val="en-GB"/>
        </w:rPr>
        <w:t xml:space="preserve"> to both </w:t>
      </w:r>
      <w:r w:rsidR="008C6F7A">
        <w:rPr>
          <w:rFonts w:ascii="Times New Roman" w:hAnsi="Times New Roman"/>
          <w:sz w:val="20"/>
          <w:szCs w:val="20"/>
          <w:lang w:val="en-GB"/>
        </w:rPr>
        <w:t>DFT-SOFDM and OFDM case with front-loaded DMRS for low latency. For other DMRS patterns, other RE mapping may be specified.</w:t>
      </w:r>
    </w:p>
    <w:p w:rsidR="00FA6B26" w:rsidRDefault="0055162F" w:rsidP="00FA6B26">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DMRS configuration for N1</w:t>
      </w:r>
    </w:p>
    <w:p w:rsidR="00E24538" w:rsidRDefault="0055162F" w:rsidP="0055162F">
      <w:pPr>
        <w:pStyle w:val="ListParagraph"/>
        <w:numPr>
          <w:ilvl w:val="1"/>
          <w:numId w:val="11"/>
        </w:numPr>
        <w:rPr>
          <w:rFonts w:ascii="Times New Roman" w:hAnsi="Times New Roman"/>
          <w:sz w:val="20"/>
          <w:szCs w:val="20"/>
          <w:lang w:val="en-GB"/>
        </w:rPr>
      </w:pPr>
      <w:r>
        <w:rPr>
          <w:rFonts w:ascii="Times New Roman" w:hAnsi="Times New Roman"/>
          <w:sz w:val="20"/>
          <w:szCs w:val="20"/>
          <w:lang w:val="en-GB"/>
        </w:rPr>
        <w:t xml:space="preserve">Although slot-based PDSCH is mentioned as part of nominal assumptions, </w:t>
      </w:r>
      <w:r w:rsidR="00E24538">
        <w:rPr>
          <w:rFonts w:ascii="Times New Roman" w:hAnsi="Times New Roman"/>
          <w:sz w:val="20"/>
          <w:szCs w:val="20"/>
          <w:lang w:val="en-GB"/>
        </w:rPr>
        <w:t>it is recommended that the corresponding DMRS assumption of first DMRS location in the 3</w:t>
      </w:r>
      <w:r w:rsidR="00E24538" w:rsidRPr="00E24538">
        <w:rPr>
          <w:rFonts w:ascii="Times New Roman" w:hAnsi="Times New Roman"/>
          <w:sz w:val="20"/>
          <w:szCs w:val="20"/>
          <w:vertAlign w:val="superscript"/>
          <w:lang w:val="en-GB"/>
        </w:rPr>
        <w:t>rd</w:t>
      </w:r>
      <w:r w:rsidR="00E24538">
        <w:rPr>
          <w:rFonts w:ascii="Times New Roman" w:hAnsi="Times New Roman"/>
          <w:sz w:val="20"/>
          <w:szCs w:val="20"/>
          <w:lang w:val="en-GB"/>
        </w:rPr>
        <w:t>/4</w:t>
      </w:r>
      <w:r w:rsidR="00E24538" w:rsidRPr="00E24538">
        <w:rPr>
          <w:rFonts w:ascii="Times New Roman" w:hAnsi="Times New Roman"/>
          <w:sz w:val="20"/>
          <w:szCs w:val="20"/>
          <w:vertAlign w:val="superscript"/>
          <w:lang w:val="en-GB"/>
        </w:rPr>
        <w:t>th</w:t>
      </w:r>
      <w:r w:rsidR="00E24538">
        <w:rPr>
          <w:rFonts w:ascii="Times New Roman" w:hAnsi="Times New Roman"/>
          <w:sz w:val="20"/>
          <w:szCs w:val="20"/>
          <w:lang w:val="en-GB"/>
        </w:rPr>
        <w:t xml:space="preserve"> symbol of the slot is explicitly captured. </w:t>
      </w:r>
    </w:p>
    <w:p w:rsidR="0055162F" w:rsidRDefault="00E24538" w:rsidP="0055162F">
      <w:pPr>
        <w:pStyle w:val="ListParagraph"/>
        <w:numPr>
          <w:ilvl w:val="1"/>
          <w:numId w:val="11"/>
        </w:numPr>
        <w:rPr>
          <w:rFonts w:ascii="Times New Roman" w:hAnsi="Times New Roman"/>
          <w:sz w:val="20"/>
          <w:szCs w:val="20"/>
          <w:lang w:val="en-GB"/>
        </w:rPr>
      </w:pPr>
      <w:r>
        <w:rPr>
          <w:rFonts w:ascii="Times New Roman" w:hAnsi="Times New Roman"/>
          <w:sz w:val="20"/>
          <w:szCs w:val="20"/>
          <w:lang w:val="en-GB"/>
        </w:rPr>
        <w:t>It is further recommended that in case no further agreements on distributed (in time) PDSCH DMRS locations are made during RAN1 #90 meeting, a common DMRS configuration should be decided as alternative to the slot-based front-loaded DMRS pattern of the previous bullet.</w:t>
      </w:r>
    </w:p>
    <w:p w:rsidR="00E24538" w:rsidRDefault="00E24538" w:rsidP="00E24538">
      <w:pPr>
        <w:jc w:val="both"/>
        <w:rPr>
          <w:b/>
          <w:i/>
          <w:sz w:val="22"/>
          <w:szCs w:val="22"/>
        </w:rPr>
      </w:pPr>
    </w:p>
    <w:p w:rsidR="00E24538" w:rsidRDefault="00E24538" w:rsidP="00E24538">
      <w:pPr>
        <w:jc w:val="both"/>
        <w:rPr>
          <w:b/>
          <w:i/>
          <w:sz w:val="22"/>
          <w:szCs w:val="22"/>
        </w:rPr>
      </w:pPr>
      <w:r>
        <w:rPr>
          <w:b/>
          <w:i/>
          <w:sz w:val="22"/>
          <w:szCs w:val="22"/>
        </w:rPr>
        <w:t>Proposal 1:</w:t>
      </w:r>
    </w:p>
    <w:p w:rsidR="00E24538" w:rsidRDefault="00E24538" w:rsidP="00E24538">
      <w:pPr>
        <w:numPr>
          <w:ilvl w:val="0"/>
          <w:numId w:val="1"/>
        </w:numPr>
        <w:jc w:val="both"/>
        <w:textAlignment w:val="auto"/>
        <w:rPr>
          <w:i/>
          <w:sz w:val="22"/>
          <w:szCs w:val="22"/>
        </w:rPr>
      </w:pPr>
      <w:r>
        <w:rPr>
          <w:i/>
          <w:sz w:val="22"/>
          <w:szCs w:val="22"/>
        </w:rPr>
        <w:t>For N1 and N2, RAN1 to agree on nominal assumptions for channel BW for TBS determination corresponding to the SCS.</w:t>
      </w:r>
    </w:p>
    <w:p w:rsidR="00E24538" w:rsidRDefault="00E24538" w:rsidP="00E24538">
      <w:pPr>
        <w:numPr>
          <w:ilvl w:val="0"/>
          <w:numId w:val="1"/>
        </w:numPr>
        <w:jc w:val="both"/>
        <w:textAlignment w:val="auto"/>
        <w:rPr>
          <w:i/>
          <w:sz w:val="22"/>
          <w:szCs w:val="22"/>
        </w:rPr>
      </w:pPr>
      <w:r>
        <w:rPr>
          <w:i/>
          <w:sz w:val="22"/>
          <w:szCs w:val="22"/>
        </w:rPr>
        <w:t>For N2, contents of UCI multiplexed in PUSCH should be clarified and for CSI feedback, appropriate assumptions on CSI measurements and reporting configuration should be added as part of nominal assumptions</w:t>
      </w:r>
      <w:r w:rsidR="00A3088B">
        <w:rPr>
          <w:i/>
          <w:sz w:val="22"/>
          <w:szCs w:val="22"/>
        </w:rPr>
        <w:t xml:space="preserve">, and also clarify no time-interleaving of CBs across TBs is applied to both </w:t>
      </w:r>
      <w:r w:rsidR="00A3088B" w:rsidRPr="00515DB5">
        <w:rPr>
          <w:i/>
          <w:lang w:val="en-GB"/>
        </w:rPr>
        <w:t>DFT-SOFDM and OFDM case with front-loaded DMRS for low latency</w:t>
      </w:r>
      <w:r>
        <w:rPr>
          <w:i/>
          <w:sz w:val="22"/>
          <w:szCs w:val="22"/>
        </w:rPr>
        <w:t>.</w:t>
      </w:r>
    </w:p>
    <w:p w:rsidR="00E24538" w:rsidRDefault="00E24538" w:rsidP="00E24538">
      <w:pPr>
        <w:numPr>
          <w:ilvl w:val="0"/>
          <w:numId w:val="1"/>
        </w:numPr>
        <w:jc w:val="both"/>
        <w:textAlignment w:val="auto"/>
        <w:rPr>
          <w:i/>
          <w:sz w:val="22"/>
          <w:szCs w:val="22"/>
        </w:rPr>
      </w:pPr>
      <w:r>
        <w:rPr>
          <w:i/>
          <w:sz w:val="22"/>
          <w:szCs w:val="22"/>
        </w:rPr>
        <w:t xml:space="preserve">For N1, DMRS configuration assumption includes at least slot-based </w:t>
      </w:r>
      <w:r w:rsidR="00E131F1">
        <w:rPr>
          <w:i/>
          <w:sz w:val="22"/>
          <w:szCs w:val="22"/>
        </w:rPr>
        <w:t xml:space="preserve">PDSCH </w:t>
      </w:r>
      <w:r>
        <w:rPr>
          <w:i/>
          <w:sz w:val="22"/>
          <w:szCs w:val="22"/>
        </w:rPr>
        <w:t>DMRS with DMRS symbol being the 3</w:t>
      </w:r>
      <w:r w:rsidRPr="00E24538">
        <w:rPr>
          <w:i/>
          <w:sz w:val="22"/>
          <w:szCs w:val="22"/>
          <w:vertAlign w:val="superscript"/>
        </w:rPr>
        <w:t>rd</w:t>
      </w:r>
      <w:r>
        <w:rPr>
          <w:i/>
          <w:sz w:val="22"/>
          <w:szCs w:val="22"/>
        </w:rPr>
        <w:t>/4</w:t>
      </w:r>
      <w:r w:rsidRPr="00E24538">
        <w:rPr>
          <w:i/>
          <w:sz w:val="22"/>
          <w:szCs w:val="22"/>
          <w:vertAlign w:val="superscript"/>
        </w:rPr>
        <w:t>th</w:t>
      </w:r>
      <w:r>
        <w:rPr>
          <w:i/>
          <w:sz w:val="22"/>
          <w:szCs w:val="22"/>
        </w:rPr>
        <w:t xml:space="preserve"> symbol of a slot</w:t>
      </w:r>
      <w:r w:rsidR="007F5212">
        <w:rPr>
          <w:i/>
          <w:sz w:val="22"/>
          <w:szCs w:val="22"/>
        </w:rPr>
        <w:t>, and no CSI feedback multiplexing when HARQ-ACK is transmitted on PUSCH</w:t>
      </w:r>
      <w:r>
        <w:rPr>
          <w:i/>
          <w:sz w:val="22"/>
          <w:szCs w:val="22"/>
        </w:rPr>
        <w:t>.</w:t>
      </w:r>
    </w:p>
    <w:p w:rsidR="007F3003" w:rsidRPr="000349E0" w:rsidRDefault="007F3003" w:rsidP="007F3003">
      <w:pPr>
        <w:pStyle w:val="Heading1"/>
        <w:numPr>
          <w:ilvl w:val="0"/>
          <w:numId w:val="2"/>
        </w:numPr>
        <w:ind w:left="360"/>
        <w:textAlignment w:val="auto"/>
        <w:rPr>
          <w:sz w:val="32"/>
        </w:rPr>
      </w:pPr>
      <w:r w:rsidRPr="000349E0">
        <w:rPr>
          <w:sz w:val="32"/>
        </w:rPr>
        <w:t>Discussion</w:t>
      </w:r>
      <w:r>
        <w:rPr>
          <w:sz w:val="32"/>
        </w:rPr>
        <w:t xml:space="preserve"> on Number of HARQ Processes </w:t>
      </w:r>
    </w:p>
    <w:p w:rsidR="007F3003" w:rsidRDefault="007F3003" w:rsidP="007F3003">
      <w:pPr>
        <w:jc w:val="both"/>
        <w:rPr>
          <w:sz w:val="22"/>
          <w:szCs w:val="22"/>
        </w:rPr>
      </w:pPr>
      <w:r>
        <w:rPr>
          <w:sz w:val="22"/>
          <w:szCs w:val="22"/>
        </w:rPr>
        <w:t xml:space="preserve">In LTE, a single numerology, slot duration, fixed processing time-budgets (or round-trip) and fixed UL-DL configurations (in case of TDD) were assumed to determine the number of HARQ processes, which yielded a single value for FDD (8) , and a fixed value for each of the TDD configurations (ranging from 4 to 15). </w:t>
      </w:r>
    </w:p>
    <w:p w:rsidR="007F3003" w:rsidRDefault="007F3003" w:rsidP="007F3003">
      <w:pPr>
        <w:jc w:val="both"/>
        <w:rPr>
          <w:sz w:val="22"/>
          <w:szCs w:val="22"/>
        </w:rPr>
      </w:pPr>
      <w:r>
        <w:rPr>
          <w:sz w:val="22"/>
          <w:szCs w:val="22"/>
        </w:rPr>
        <w:t xml:space="preserve">While we think some of the same principles from LTE can be re-applied, for NR there is a lot of configurability (e.g. numerology, processing time-budgets, UL and DL transmissions), which can potentially lead to wide-variation in the number of HARQ processes at the UE side, leading to a maximum number of HARQ processes which is relatively large, and which may not be applicable to the typical configurations at which the UE is expected to operate. </w:t>
      </w:r>
    </w:p>
    <w:p w:rsidR="007F3003" w:rsidRDefault="007F3003" w:rsidP="007F3003">
      <w:pPr>
        <w:jc w:val="both"/>
        <w:rPr>
          <w:sz w:val="22"/>
          <w:szCs w:val="22"/>
        </w:rPr>
      </w:pPr>
      <w:r>
        <w:rPr>
          <w:sz w:val="22"/>
          <w:szCs w:val="22"/>
        </w:rPr>
        <w:t xml:space="preserve">Typically, the number of HARQ processes are determined such that the UE pipe can be kept full while each process is waiting for HARQ feedback in the SAW protocol. In TDD systems especially, this can lead to increased number of HARQ processes for various reasons, including limited uplink feedback occasions, gNB scheduling freedom, UE processing time, etc. While increased number of HARQ processes can lead to increased control overhead (e.g. increased payload on DCI and uplink control feedback), its impact on HARQ buffer at the UE side can be ameliorated using soft buffer management techniques (such as overbooking, etc). </w:t>
      </w:r>
    </w:p>
    <w:p w:rsidR="007F3003" w:rsidRPr="00734DB6" w:rsidRDefault="007F3003" w:rsidP="007F3003">
      <w:pPr>
        <w:rPr>
          <w:sz w:val="22"/>
          <w:szCs w:val="22"/>
        </w:rPr>
      </w:pPr>
      <w:r w:rsidRPr="00734DB6">
        <w:rPr>
          <w:sz w:val="22"/>
          <w:szCs w:val="22"/>
        </w:rPr>
        <w:t>The factors impacting the maximum number of HARQ processes include:</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UE and gNB processing times for data channels</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UE processing time for DL control channel decoding</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lastRenderedPageBreak/>
        <w:t>Relates to DL control channel monitoring occasions, overall PDCCH blind decoding load, relationship between PDCCH and scheduled PDSCH (i.e., if the PDCCH needs to be decoded in order to receive the PDSCH)</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UE processing time for preparation of UL transmission</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Operation point w.r.t. throughput. For instance, the maximum number of HARQ processes may only correspond to peak data rate operation in certain configurations. The relationship to throughput/data rates, in turn, influenced by:</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t>Maximum TBS sizes</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t>HARQ RTT (incorporating data channel duration and scheduling/HARQ delays)</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t>Numerology</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Propagation delays and backhaul/fronthaul delays (i.e., dependency on deployments)</w:t>
      </w:r>
    </w:p>
    <w:p w:rsidR="007F3003" w:rsidRDefault="007F3003" w:rsidP="007F3003">
      <w:pPr>
        <w:jc w:val="both"/>
        <w:rPr>
          <w:sz w:val="22"/>
          <w:szCs w:val="22"/>
        </w:rPr>
      </w:pPr>
    </w:p>
    <w:p w:rsidR="007F3003" w:rsidRPr="00D11D28" w:rsidRDefault="007F3003" w:rsidP="007F3003">
      <w:pPr>
        <w:jc w:val="both"/>
        <w:rPr>
          <w:sz w:val="22"/>
          <w:szCs w:val="22"/>
        </w:rPr>
      </w:pPr>
      <w:r w:rsidRPr="00D11D28">
        <w:rPr>
          <w:rFonts w:eastAsia="MS Mincho"/>
          <w:sz w:val="22"/>
          <w:szCs w:val="22"/>
          <w:lang w:val="en-GB" w:eastAsia="ja-JP"/>
        </w:rPr>
        <w:t>The maximum number of HARQ processes can be different for different UEs, depending on their capabilities</w:t>
      </w:r>
      <w:r>
        <w:rPr>
          <w:rFonts w:eastAsia="MS Mincho"/>
          <w:sz w:val="22"/>
          <w:szCs w:val="22"/>
          <w:lang w:val="en-GB" w:eastAsia="ja-JP"/>
        </w:rPr>
        <w:t>.</w:t>
      </w:r>
    </w:p>
    <w:p w:rsidR="007F3003" w:rsidRDefault="007F3003" w:rsidP="007F3003">
      <w:pPr>
        <w:jc w:val="both"/>
        <w:rPr>
          <w:sz w:val="22"/>
          <w:szCs w:val="22"/>
        </w:rPr>
      </w:pPr>
      <w:r w:rsidRPr="00734DB6">
        <w:rPr>
          <w:sz w:val="22"/>
          <w:szCs w:val="22"/>
        </w:rPr>
        <w:t>To determine the maximum number of HARQ processes, it may be natural to consider the maximum possible HARQ RTT configuration. However, a reasonable balance is necessary between the resulting UE complexity, gNB scheduling flexibility, and expected performance (e.g., achievable data rates) in determining suitable combination(s) for the values of K0 through K3 that may be used to guide the maximum number of HARQ processes.</w:t>
      </w:r>
    </w:p>
    <w:p w:rsidR="007F3003" w:rsidRDefault="007F3003" w:rsidP="007F3003">
      <w:pPr>
        <w:jc w:val="both"/>
        <w:rPr>
          <w:sz w:val="22"/>
          <w:szCs w:val="22"/>
        </w:rPr>
      </w:pPr>
      <w:r>
        <w:rPr>
          <w:sz w:val="22"/>
          <w:szCs w:val="22"/>
        </w:rPr>
        <w:t xml:space="preserve">The maximum number of HARQ </w:t>
      </w:r>
      <w:bookmarkStart w:id="3" w:name="_GoBack"/>
      <w:r>
        <w:rPr>
          <w:sz w:val="22"/>
          <w:szCs w:val="22"/>
        </w:rPr>
        <w:t xml:space="preserve">processes would impact the DCI design via the HARQ process index field (extra some states could be reserved or unused). It is noted that </w:t>
      </w:r>
      <w:r w:rsidRPr="00734DB6">
        <w:rPr>
          <w:sz w:val="22"/>
          <w:szCs w:val="22"/>
        </w:rPr>
        <w:t xml:space="preserve">peak rate need not be supported </w:t>
      </w:r>
      <w:r>
        <w:rPr>
          <w:sz w:val="22"/>
          <w:szCs w:val="22"/>
        </w:rPr>
        <w:t xml:space="preserve">by the UE if the </w:t>
      </w:r>
      <w:r w:rsidRPr="00734DB6">
        <w:rPr>
          <w:sz w:val="22"/>
          <w:szCs w:val="22"/>
        </w:rPr>
        <w:t>number of HARQ processes</w:t>
      </w:r>
      <w:r>
        <w:rPr>
          <w:sz w:val="22"/>
          <w:szCs w:val="22"/>
        </w:rPr>
        <w:t xml:space="preserve"> used is relatively larger than suitable reference con</w:t>
      </w:r>
      <w:r w:rsidR="00E24538">
        <w:rPr>
          <w:sz w:val="22"/>
          <w:szCs w:val="22"/>
        </w:rPr>
        <w:t xml:space="preserve">figuration(s) for that UE e.g., </w:t>
      </w:r>
      <w:r>
        <w:rPr>
          <w:sz w:val="22"/>
          <w:szCs w:val="22"/>
        </w:rPr>
        <w:t xml:space="preserve">in that case it causes excessive soft buffer blocking, or UE would support </w:t>
      </w:r>
      <w:bookmarkEnd w:id="3"/>
      <w:r>
        <w:rPr>
          <w:sz w:val="22"/>
          <w:szCs w:val="22"/>
        </w:rPr>
        <w:t>a lower data rate, etc.</w:t>
      </w:r>
    </w:p>
    <w:p w:rsidR="007F3003" w:rsidRDefault="007F3003" w:rsidP="007F3003">
      <w:pPr>
        <w:jc w:val="both"/>
        <w:rPr>
          <w:sz w:val="22"/>
          <w:szCs w:val="22"/>
        </w:rPr>
      </w:pPr>
      <w:r>
        <w:rPr>
          <w:sz w:val="22"/>
          <w:szCs w:val="22"/>
        </w:rPr>
        <w:t xml:space="preserve">For example, a processing time of two slots </w:t>
      </w:r>
      <w:r w:rsidRPr="0014589F">
        <w:rPr>
          <w:sz w:val="22"/>
          <w:szCs w:val="22"/>
        </w:rPr>
        <w:t>with SCS</w:t>
      </w:r>
      <w:r>
        <w:rPr>
          <w:sz w:val="22"/>
          <w:szCs w:val="22"/>
        </w:rPr>
        <w:t xml:space="preserve"> </w:t>
      </w:r>
      <w:r w:rsidRPr="0014589F">
        <w:rPr>
          <w:sz w:val="22"/>
          <w:szCs w:val="22"/>
        </w:rPr>
        <w:t>30kHz</w:t>
      </w:r>
      <w:r>
        <w:rPr>
          <w:sz w:val="22"/>
          <w:szCs w:val="22"/>
        </w:rPr>
        <w:t>, , yields four as a reference number of HARQ processes supporting a certain peak data rate and a certain amount of soft buffer locations with a given LBRM factor (of  50%) [</w:t>
      </w:r>
      <w:r w:rsidR="003C3917">
        <w:rPr>
          <w:sz w:val="22"/>
          <w:szCs w:val="22"/>
        </w:rPr>
        <w:t>2</w:t>
      </w:r>
      <w:r>
        <w:rPr>
          <w:sz w:val="22"/>
          <w:szCs w:val="22"/>
        </w:rPr>
        <w:t xml:space="preserve">]. In this case the maximum number of HARQ processes may be set to 4 (or to a slightly larger number such as 6, if some margin is allowed). In case of a slight margin, the UE may be able to support the peak data rate using soft buffer overbooking method without increased blocking. However, requiring UE to support peak data rate for a very large number of maximum HARQ processes shall be avoided as it will also require increase soft memory. </w:t>
      </w:r>
      <w:r w:rsidRPr="00734DB6">
        <w:rPr>
          <w:sz w:val="22"/>
          <w:szCs w:val="22"/>
        </w:rPr>
        <w:t>Further, the number of HARQ processes and peak data rates can be different depending on numerology and timing relationships.</w:t>
      </w:r>
    </w:p>
    <w:p w:rsidR="007F3003" w:rsidRDefault="007F3003" w:rsidP="007F3003">
      <w:pPr>
        <w:jc w:val="both"/>
        <w:rPr>
          <w:sz w:val="22"/>
          <w:szCs w:val="22"/>
        </w:rPr>
      </w:pPr>
      <w:r>
        <w:rPr>
          <w:sz w:val="22"/>
          <w:szCs w:val="22"/>
        </w:rPr>
        <w:t xml:space="preserve">The </w:t>
      </w:r>
      <w:r w:rsidRPr="00734DB6">
        <w:rPr>
          <w:sz w:val="22"/>
          <w:szCs w:val="22"/>
        </w:rPr>
        <w:t>maximum HARQ processes may be different between DL and UL.</w:t>
      </w:r>
    </w:p>
    <w:p w:rsidR="007F3003" w:rsidRDefault="007F3003" w:rsidP="007F3003">
      <w:pPr>
        <w:jc w:val="both"/>
        <w:rPr>
          <w:sz w:val="22"/>
          <w:szCs w:val="22"/>
        </w:rPr>
      </w:pPr>
      <w:r>
        <w:rPr>
          <w:sz w:val="22"/>
          <w:szCs w:val="22"/>
        </w:rPr>
        <w:t>A small</w:t>
      </w:r>
      <w:r w:rsidRPr="001144C7">
        <w:rPr>
          <w:sz w:val="22"/>
          <w:szCs w:val="22"/>
        </w:rPr>
        <w:t xml:space="preserve"> number of HARQ processes </w:t>
      </w:r>
      <w:r>
        <w:rPr>
          <w:sz w:val="22"/>
          <w:szCs w:val="22"/>
        </w:rPr>
        <w:t xml:space="preserve">(such as [8]) </w:t>
      </w:r>
      <w:r w:rsidRPr="001144C7">
        <w:rPr>
          <w:sz w:val="22"/>
          <w:szCs w:val="22"/>
        </w:rPr>
        <w:t>can be arranged to the UE depending on UE capability and the HARQ feedback timeline n+k configured to the UE.</w:t>
      </w:r>
      <w:r>
        <w:rPr>
          <w:sz w:val="22"/>
          <w:szCs w:val="22"/>
        </w:rPr>
        <w:t xml:space="preserve"> </w:t>
      </w:r>
    </w:p>
    <w:p w:rsidR="007F3003" w:rsidRDefault="007F3003" w:rsidP="007F3003">
      <w:pPr>
        <w:jc w:val="both"/>
        <w:rPr>
          <w:sz w:val="22"/>
          <w:szCs w:val="22"/>
        </w:rPr>
      </w:pPr>
      <w:r>
        <w:rPr>
          <w:sz w:val="22"/>
          <w:szCs w:val="22"/>
        </w:rPr>
        <w:t>The maximum number of HARQ processes does not necessarily mandate a certain UE soft buffer requirement dependent on that number i.e. the UE soft buffer requirement may not linearly increase with the number of HARQ processes. For scheduling flexibility, the system may operate with more addressable HARQ processes than what the UE can fully store in its HARQ buffer.</w:t>
      </w:r>
    </w:p>
    <w:p w:rsidR="007F3003" w:rsidRDefault="007F3003" w:rsidP="00E24538">
      <w:pPr>
        <w:jc w:val="both"/>
        <w:rPr>
          <w:b/>
          <w:i/>
          <w:sz w:val="22"/>
          <w:szCs w:val="22"/>
        </w:rPr>
      </w:pPr>
      <w:r w:rsidRPr="009C6263">
        <w:rPr>
          <w:b/>
          <w:i/>
          <w:sz w:val="22"/>
          <w:szCs w:val="22"/>
        </w:rPr>
        <w:t>Proposal</w:t>
      </w:r>
      <w:r w:rsidR="00E24538">
        <w:rPr>
          <w:b/>
          <w:i/>
          <w:sz w:val="22"/>
          <w:szCs w:val="22"/>
        </w:rPr>
        <w:t xml:space="preserve"> 2</w:t>
      </w:r>
      <w:r w:rsidRPr="009C6263">
        <w:rPr>
          <w:b/>
          <w:i/>
          <w:sz w:val="22"/>
          <w:szCs w:val="22"/>
        </w:rPr>
        <w:t>:</w:t>
      </w:r>
      <w:r>
        <w:rPr>
          <w:b/>
          <w:i/>
          <w:sz w:val="22"/>
          <w:szCs w:val="22"/>
        </w:rPr>
        <w:t xml:space="preserve"> </w:t>
      </w:r>
    </w:p>
    <w:p w:rsidR="007F3003" w:rsidRPr="00D37FC5" w:rsidRDefault="007F3003" w:rsidP="007F3003">
      <w:pPr>
        <w:numPr>
          <w:ilvl w:val="0"/>
          <w:numId w:val="1"/>
        </w:numPr>
        <w:jc w:val="both"/>
        <w:textAlignment w:val="auto"/>
        <w:rPr>
          <w:i/>
          <w:sz w:val="22"/>
          <w:szCs w:val="22"/>
        </w:rPr>
      </w:pPr>
      <w:r>
        <w:rPr>
          <w:i/>
          <w:sz w:val="22"/>
          <w:szCs w:val="22"/>
        </w:rPr>
        <w:t>A small</w:t>
      </w:r>
      <w:r w:rsidRPr="00D37FC5">
        <w:rPr>
          <w:i/>
          <w:sz w:val="22"/>
          <w:szCs w:val="22"/>
        </w:rPr>
        <w:t xml:space="preserve"> number of HARQ processes </w:t>
      </w:r>
      <w:r>
        <w:rPr>
          <w:i/>
          <w:sz w:val="22"/>
          <w:szCs w:val="22"/>
        </w:rPr>
        <w:t xml:space="preserve">(such as [8]) </w:t>
      </w:r>
      <w:r w:rsidRPr="00D37FC5">
        <w:rPr>
          <w:i/>
          <w:sz w:val="22"/>
          <w:szCs w:val="22"/>
        </w:rPr>
        <w:t>can be arranged to the UE depending on UE capability and the HARQ feedback timeline n+k configured to the UE</w:t>
      </w:r>
      <w:r w:rsidR="00E24538">
        <w:rPr>
          <w:i/>
          <w:sz w:val="22"/>
          <w:szCs w:val="22"/>
        </w:rPr>
        <w:t>.</w:t>
      </w:r>
      <w:r w:rsidRPr="00D37FC5">
        <w:rPr>
          <w:i/>
          <w:sz w:val="22"/>
          <w:szCs w:val="22"/>
        </w:rPr>
        <w:t xml:space="preserve"> </w:t>
      </w:r>
    </w:p>
    <w:p w:rsidR="007F3003" w:rsidRPr="000349E0" w:rsidRDefault="007F3003" w:rsidP="007F3003">
      <w:pPr>
        <w:pStyle w:val="Heading1"/>
        <w:numPr>
          <w:ilvl w:val="0"/>
          <w:numId w:val="2"/>
        </w:numPr>
        <w:ind w:left="360"/>
        <w:textAlignment w:val="auto"/>
        <w:rPr>
          <w:sz w:val="32"/>
        </w:rPr>
      </w:pPr>
      <w:r w:rsidRPr="000349E0">
        <w:rPr>
          <w:sz w:val="32"/>
        </w:rPr>
        <w:t>Summary</w:t>
      </w:r>
    </w:p>
    <w:p w:rsidR="007F3003" w:rsidRDefault="007F3003" w:rsidP="007F3003">
      <w:pPr>
        <w:spacing w:before="240"/>
        <w:jc w:val="both"/>
        <w:rPr>
          <w:sz w:val="22"/>
          <w:szCs w:val="22"/>
        </w:rPr>
      </w:pPr>
      <w:r>
        <w:rPr>
          <w:sz w:val="22"/>
          <w:szCs w:val="22"/>
        </w:rPr>
        <w:t xml:space="preserve">This document presented our views on </w:t>
      </w:r>
      <w:r w:rsidR="00E24538">
        <w:rPr>
          <w:sz w:val="22"/>
          <w:szCs w:val="22"/>
        </w:rPr>
        <w:t xml:space="preserve">characterization of UE processing times and </w:t>
      </w:r>
      <w:r>
        <w:rPr>
          <w:sz w:val="22"/>
          <w:szCs w:val="22"/>
        </w:rPr>
        <w:t>number of HARQ processes. The following is a summary of our proposals in this contribution.</w:t>
      </w:r>
    </w:p>
    <w:p w:rsidR="00E131F1" w:rsidRDefault="00E131F1" w:rsidP="00E131F1">
      <w:pPr>
        <w:jc w:val="both"/>
        <w:rPr>
          <w:b/>
          <w:i/>
          <w:sz w:val="22"/>
          <w:szCs w:val="22"/>
        </w:rPr>
      </w:pPr>
      <w:r>
        <w:rPr>
          <w:b/>
          <w:i/>
          <w:sz w:val="22"/>
          <w:szCs w:val="22"/>
        </w:rPr>
        <w:lastRenderedPageBreak/>
        <w:t>Proposal 1:</w:t>
      </w:r>
    </w:p>
    <w:p w:rsidR="00E131F1" w:rsidRDefault="00E131F1" w:rsidP="00E131F1">
      <w:pPr>
        <w:numPr>
          <w:ilvl w:val="0"/>
          <w:numId w:val="1"/>
        </w:numPr>
        <w:jc w:val="both"/>
        <w:textAlignment w:val="auto"/>
        <w:rPr>
          <w:i/>
          <w:sz w:val="22"/>
          <w:szCs w:val="22"/>
        </w:rPr>
      </w:pPr>
      <w:r>
        <w:rPr>
          <w:i/>
          <w:sz w:val="22"/>
          <w:szCs w:val="22"/>
        </w:rPr>
        <w:t>For N1 and N2, RAN1 to agree on nominal assumptions for channel BW for TBS determination corresponding to the SCS.</w:t>
      </w:r>
    </w:p>
    <w:p w:rsidR="00E131F1" w:rsidRDefault="00E131F1" w:rsidP="00E131F1">
      <w:pPr>
        <w:numPr>
          <w:ilvl w:val="0"/>
          <w:numId w:val="1"/>
        </w:numPr>
        <w:jc w:val="both"/>
        <w:textAlignment w:val="auto"/>
        <w:rPr>
          <w:i/>
          <w:sz w:val="22"/>
          <w:szCs w:val="22"/>
        </w:rPr>
      </w:pPr>
      <w:r>
        <w:rPr>
          <w:i/>
          <w:sz w:val="22"/>
          <w:szCs w:val="22"/>
        </w:rPr>
        <w:t>For N2, contents of UCI multiplexed in PUSCH should be clarified and for CSI feedback, appropriate assumptions on CSI measurements and reporting configuration should be added as part of nominal assumptions</w:t>
      </w:r>
      <w:r w:rsidR="00913A5D">
        <w:rPr>
          <w:i/>
          <w:sz w:val="22"/>
          <w:szCs w:val="22"/>
        </w:rPr>
        <w:t xml:space="preserve">, and also clarify no time-interleaving of CBs across TBs is applied to both </w:t>
      </w:r>
      <w:r w:rsidR="00913A5D" w:rsidRPr="009E1331">
        <w:rPr>
          <w:i/>
          <w:lang w:val="en-GB"/>
        </w:rPr>
        <w:t>DFT-SOFDM and OFDM case with front-loaded DMRS for low latency</w:t>
      </w:r>
      <w:r>
        <w:rPr>
          <w:i/>
          <w:sz w:val="22"/>
          <w:szCs w:val="22"/>
        </w:rPr>
        <w:t>.</w:t>
      </w:r>
    </w:p>
    <w:p w:rsidR="00E131F1" w:rsidRDefault="00E131F1" w:rsidP="00E131F1">
      <w:pPr>
        <w:numPr>
          <w:ilvl w:val="0"/>
          <w:numId w:val="1"/>
        </w:numPr>
        <w:jc w:val="both"/>
        <w:textAlignment w:val="auto"/>
        <w:rPr>
          <w:i/>
          <w:sz w:val="22"/>
          <w:szCs w:val="22"/>
        </w:rPr>
      </w:pPr>
      <w:r>
        <w:rPr>
          <w:i/>
          <w:sz w:val="22"/>
          <w:szCs w:val="22"/>
        </w:rPr>
        <w:t>For N1, DMRS configuration assumption includes at least slot-based PDSCH DMRS with DMRS symbol being the 3</w:t>
      </w:r>
      <w:r w:rsidRPr="00E24538">
        <w:rPr>
          <w:i/>
          <w:sz w:val="22"/>
          <w:szCs w:val="22"/>
          <w:vertAlign w:val="superscript"/>
        </w:rPr>
        <w:t>rd</w:t>
      </w:r>
      <w:r>
        <w:rPr>
          <w:i/>
          <w:sz w:val="22"/>
          <w:szCs w:val="22"/>
        </w:rPr>
        <w:t>/4</w:t>
      </w:r>
      <w:r w:rsidRPr="00E24538">
        <w:rPr>
          <w:i/>
          <w:sz w:val="22"/>
          <w:szCs w:val="22"/>
          <w:vertAlign w:val="superscript"/>
        </w:rPr>
        <w:t>th</w:t>
      </w:r>
      <w:r>
        <w:rPr>
          <w:i/>
          <w:sz w:val="22"/>
          <w:szCs w:val="22"/>
        </w:rPr>
        <w:t xml:space="preserve"> symbol of a slot</w:t>
      </w:r>
      <w:r w:rsidR="007F5212">
        <w:rPr>
          <w:i/>
          <w:sz w:val="22"/>
          <w:szCs w:val="22"/>
        </w:rPr>
        <w:t xml:space="preserve">, </w:t>
      </w:r>
      <w:r w:rsidR="007F5212">
        <w:rPr>
          <w:i/>
          <w:sz w:val="22"/>
          <w:szCs w:val="22"/>
        </w:rPr>
        <w:t>and no CSI feedback multiplexing when HARQ-ACK is transmitted on PUSCH</w:t>
      </w:r>
      <w:r>
        <w:rPr>
          <w:i/>
          <w:sz w:val="22"/>
          <w:szCs w:val="22"/>
        </w:rPr>
        <w:t>.</w:t>
      </w:r>
    </w:p>
    <w:p w:rsidR="007F3003" w:rsidRDefault="00A3528B" w:rsidP="00E24538">
      <w:pPr>
        <w:jc w:val="both"/>
        <w:rPr>
          <w:b/>
          <w:i/>
          <w:sz w:val="22"/>
          <w:szCs w:val="22"/>
        </w:rPr>
      </w:pPr>
      <w:r>
        <w:rPr>
          <w:b/>
          <w:i/>
          <w:sz w:val="22"/>
          <w:szCs w:val="22"/>
        </w:rPr>
        <w:t>Proposal</w:t>
      </w:r>
      <w:r w:rsidR="00E24538">
        <w:rPr>
          <w:b/>
          <w:i/>
          <w:sz w:val="22"/>
          <w:szCs w:val="22"/>
        </w:rPr>
        <w:t xml:space="preserve"> 2</w:t>
      </w:r>
      <w:r w:rsidR="007F3003">
        <w:rPr>
          <w:b/>
          <w:i/>
          <w:sz w:val="22"/>
          <w:szCs w:val="22"/>
        </w:rPr>
        <w:t>:</w:t>
      </w:r>
    </w:p>
    <w:p w:rsidR="007F3003" w:rsidRPr="00CF2B49" w:rsidRDefault="007F3003" w:rsidP="007F3003">
      <w:pPr>
        <w:numPr>
          <w:ilvl w:val="0"/>
          <w:numId w:val="1"/>
        </w:numPr>
        <w:jc w:val="both"/>
        <w:textAlignment w:val="auto"/>
        <w:rPr>
          <w:i/>
          <w:sz w:val="22"/>
          <w:szCs w:val="22"/>
        </w:rPr>
      </w:pPr>
      <w:r>
        <w:rPr>
          <w:i/>
          <w:sz w:val="22"/>
          <w:szCs w:val="22"/>
        </w:rPr>
        <w:t>A small</w:t>
      </w:r>
      <w:r w:rsidRPr="00D37FC5">
        <w:rPr>
          <w:i/>
          <w:sz w:val="22"/>
          <w:szCs w:val="22"/>
        </w:rPr>
        <w:t xml:space="preserve"> number of HARQ processes </w:t>
      </w:r>
      <w:r>
        <w:rPr>
          <w:i/>
          <w:sz w:val="22"/>
          <w:szCs w:val="22"/>
        </w:rPr>
        <w:t xml:space="preserve">(such as [8]) </w:t>
      </w:r>
      <w:r w:rsidRPr="00D37FC5">
        <w:rPr>
          <w:i/>
          <w:sz w:val="22"/>
          <w:szCs w:val="22"/>
        </w:rPr>
        <w:t>can be arranged to the UE depending on UE capability and the HARQ feedback timeline n+k configured to the UE</w:t>
      </w:r>
      <w:r w:rsidR="00E24538">
        <w:rPr>
          <w:i/>
          <w:sz w:val="22"/>
          <w:szCs w:val="22"/>
        </w:rPr>
        <w:t>.</w:t>
      </w:r>
      <w:r>
        <w:rPr>
          <w:i/>
          <w:sz w:val="22"/>
          <w:szCs w:val="22"/>
        </w:rPr>
        <w:t xml:space="preserve"> </w:t>
      </w:r>
    </w:p>
    <w:p w:rsidR="007F3003" w:rsidRDefault="007F3003" w:rsidP="007F3003"/>
    <w:p w:rsidR="007F3003" w:rsidRPr="00D37FC5" w:rsidRDefault="007F3003" w:rsidP="007F3003">
      <w:pPr>
        <w:pStyle w:val="Heading1"/>
        <w:numPr>
          <w:ilvl w:val="0"/>
          <w:numId w:val="2"/>
        </w:numPr>
        <w:ind w:left="360"/>
        <w:textAlignment w:val="auto"/>
        <w:rPr>
          <w:sz w:val="32"/>
        </w:rPr>
      </w:pPr>
      <w:r w:rsidRPr="00D37FC5">
        <w:rPr>
          <w:sz w:val="32"/>
        </w:rPr>
        <w:t>References</w:t>
      </w:r>
    </w:p>
    <w:p w:rsidR="003C3917" w:rsidRDefault="003C3917">
      <w:r>
        <w:t xml:space="preserve">[1] Chairman’s notes, RAN1 NR AH#2, Qingdao, P. R. China, June 2017. </w:t>
      </w:r>
    </w:p>
    <w:p w:rsidR="002F3778" w:rsidRDefault="007F3003">
      <w:r>
        <w:t>[</w:t>
      </w:r>
      <w:r w:rsidR="003C3917">
        <w:t>2</w:t>
      </w:r>
      <w:r>
        <w:t xml:space="preserve">] </w:t>
      </w:r>
      <w:r w:rsidR="00A3528B" w:rsidRPr="00A3528B">
        <w:t>R1-1712599</w:t>
      </w:r>
      <w:r>
        <w:t xml:space="preserve">, </w:t>
      </w:r>
      <w:r w:rsidR="00A3528B">
        <w:t>“</w:t>
      </w:r>
      <w:r>
        <w:t>S</w:t>
      </w:r>
      <w:r w:rsidRPr="00D11D28">
        <w:t>oft-buffer requirements in NR</w:t>
      </w:r>
      <w:r>
        <w:t>,</w:t>
      </w:r>
      <w:r w:rsidR="00A3528B">
        <w:t>” Intel Corporation,</w:t>
      </w:r>
      <w:r>
        <w:t xml:space="preserve"> RAN1</w:t>
      </w:r>
      <w:r w:rsidR="00A3528B">
        <w:t xml:space="preserve"> </w:t>
      </w:r>
      <w:r>
        <w:t>#</w:t>
      </w:r>
      <w:r w:rsidR="00A3528B">
        <w:t>90, Prague, Czechia, August</w:t>
      </w:r>
      <w:r>
        <w:t xml:space="preserve"> 2017</w:t>
      </w:r>
      <w:r w:rsidR="00A3528B">
        <w:t>.</w:t>
      </w:r>
    </w:p>
    <w:p w:rsidR="003C3917" w:rsidRDefault="003C3917"/>
    <w:sectPr w:rsidR="003C3917" w:rsidSect="00E24538">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0E7" w:rsidRDefault="002E60E7">
      <w:pPr>
        <w:spacing w:after="0"/>
      </w:pPr>
      <w:r>
        <w:separator/>
      </w:r>
    </w:p>
  </w:endnote>
  <w:endnote w:type="continuationSeparator" w:id="0">
    <w:p w:rsidR="002E60E7" w:rsidRDefault="002E60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538" w:rsidRDefault="00E24538" w:rsidP="00E245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4538" w:rsidRDefault="00E24538" w:rsidP="00E245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538" w:rsidRDefault="00E24538" w:rsidP="00E24538">
    <w:pPr>
      <w:pStyle w:val="Footer"/>
      <w:ind w:right="360"/>
    </w:pPr>
    <w:r>
      <w:rPr>
        <w:rStyle w:val="PageNumber"/>
      </w:rPr>
      <w:fldChar w:fldCharType="begin"/>
    </w:r>
    <w:r>
      <w:rPr>
        <w:rStyle w:val="PageNumber"/>
      </w:rPr>
      <w:instrText xml:space="preserve"> PAGE </w:instrText>
    </w:r>
    <w:r>
      <w:rPr>
        <w:rStyle w:val="PageNumber"/>
      </w:rPr>
      <w:fldChar w:fldCharType="separate"/>
    </w:r>
    <w:r w:rsidR="007F521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21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0E7" w:rsidRDefault="002E60E7">
      <w:pPr>
        <w:spacing w:after="0"/>
      </w:pPr>
      <w:r>
        <w:separator/>
      </w:r>
    </w:p>
  </w:footnote>
  <w:footnote w:type="continuationSeparator" w:id="0">
    <w:p w:rsidR="002E60E7" w:rsidRDefault="002E60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538" w:rsidRDefault="00E245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B7997"/>
    <w:multiLevelType w:val="hybridMultilevel"/>
    <w:tmpl w:val="D8F6D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1B3544"/>
    <w:multiLevelType w:val="hybridMultilevel"/>
    <w:tmpl w:val="509CE4EE"/>
    <w:lvl w:ilvl="0" w:tplc="3C505890">
      <w:start w:val="1"/>
      <w:numFmt w:val="bullet"/>
      <w:lvlText w:val=""/>
      <w:lvlJc w:val="left"/>
      <w:pPr>
        <w:tabs>
          <w:tab w:val="num" w:pos="360"/>
        </w:tabs>
        <w:ind w:left="360" w:hanging="360"/>
      </w:pPr>
      <w:rPr>
        <w:rFonts w:ascii="Wingdings" w:hAnsi="Wingdings" w:hint="default"/>
      </w:rPr>
    </w:lvl>
    <w:lvl w:ilvl="1" w:tplc="E5800960">
      <w:start w:val="1"/>
      <w:numFmt w:val="bullet"/>
      <w:lvlText w:val=""/>
      <w:lvlJc w:val="left"/>
      <w:pPr>
        <w:tabs>
          <w:tab w:val="num" w:pos="1080"/>
        </w:tabs>
        <w:ind w:left="1080" w:hanging="360"/>
      </w:pPr>
      <w:rPr>
        <w:rFonts w:ascii="Wingdings" w:hAnsi="Wingdings" w:hint="default"/>
      </w:rPr>
    </w:lvl>
    <w:lvl w:ilvl="2" w:tplc="FF9C9FF2" w:tentative="1">
      <w:start w:val="1"/>
      <w:numFmt w:val="bullet"/>
      <w:lvlText w:val=""/>
      <w:lvlJc w:val="left"/>
      <w:pPr>
        <w:tabs>
          <w:tab w:val="num" w:pos="1800"/>
        </w:tabs>
        <w:ind w:left="1800" w:hanging="360"/>
      </w:pPr>
      <w:rPr>
        <w:rFonts w:ascii="Wingdings" w:hAnsi="Wingdings" w:hint="default"/>
      </w:rPr>
    </w:lvl>
    <w:lvl w:ilvl="3" w:tplc="A8C4D6AA" w:tentative="1">
      <w:start w:val="1"/>
      <w:numFmt w:val="bullet"/>
      <w:lvlText w:val=""/>
      <w:lvlJc w:val="left"/>
      <w:pPr>
        <w:tabs>
          <w:tab w:val="num" w:pos="2520"/>
        </w:tabs>
        <w:ind w:left="2520" w:hanging="360"/>
      </w:pPr>
      <w:rPr>
        <w:rFonts w:ascii="Wingdings" w:hAnsi="Wingdings" w:hint="default"/>
      </w:rPr>
    </w:lvl>
    <w:lvl w:ilvl="4" w:tplc="D8E0B822" w:tentative="1">
      <w:start w:val="1"/>
      <w:numFmt w:val="bullet"/>
      <w:lvlText w:val=""/>
      <w:lvlJc w:val="left"/>
      <w:pPr>
        <w:tabs>
          <w:tab w:val="num" w:pos="3240"/>
        </w:tabs>
        <w:ind w:left="3240" w:hanging="360"/>
      </w:pPr>
      <w:rPr>
        <w:rFonts w:ascii="Wingdings" w:hAnsi="Wingdings" w:hint="default"/>
      </w:rPr>
    </w:lvl>
    <w:lvl w:ilvl="5" w:tplc="707CC230" w:tentative="1">
      <w:start w:val="1"/>
      <w:numFmt w:val="bullet"/>
      <w:lvlText w:val=""/>
      <w:lvlJc w:val="left"/>
      <w:pPr>
        <w:tabs>
          <w:tab w:val="num" w:pos="3960"/>
        </w:tabs>
        <w:ind w:left="3960" w:hanging="360"/>
      </w:pPr>
      <w:rPr>
        <w:rFonts w:ascii="Wingdings" w:hAnsi="Wingdings" w:hint="default"/>
      </w:rPr>
    </w:lvl>
    <w:lvl w:ilvl="6" w:tplc="4024F8A8" w:tentative="1">
      <w:start w:val="1"/>
      <w:numFmt w:val="bullet"/>
      <w:lvlText w:val=""/>
      <w:lvlJc w:val="left"/>
      <w:pPr>
        <w:tabs>
          <w:tab w:val="num" w:pos="4680"/>
        </w:tabs>
        <w:ind w:left="4680" w:hanging="360"/>
      </w:pPr>
      <w:rPr>
        <w:rFonts w:ascii="Wingdings" w:hAnsi="Wingdings" w:hint="default"/>
      </w:rPr>
    </w:lvl>
    <w:lvl w:ilvl="7" w:tplc="E46A47D6" w:tentative="1">
      <w:start w:val="1"/>
      <w:numFmt w:val="bullet"/>
      <w:lvlText w:val=""/>
      <w:lvlJc w:val="left"/>
      <w:pPr>
        <w:tabs>
          <w:tab w:val="num" w:pos="5400"/>
        </w:tabs>
        <w:ind w:left="5400" w:hanging="360"/>
      </w:pPr>
      <w:rPr>
        <w:rFonts w:ascii="Wingdings" w:hAnsi="Wingdings" w:hint="default"/>
      </w:rPr>
    </w:lvl>
    <w:lvl w:ilvl="8" w:tplc="29B68002"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9577AD"/>
    <w:multiLevelType w:val="hybridMultilevel"/>
    <w:tmpl w:val="E1D4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7211E"/>
    <w:multiLevelType w:val="hybridMultilevel"/>
    <w:tmpl w:val="4A2A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5576DF"/>
    <w:multiLevelType w:val="hybridMultilevel"/>
    <w:tmpl w:val="1DF25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78380A"/>
    <w:multiLevelType w:val="hybridMultilevel"/>
    <w:tmpl w:val="7A1E4298"/>
    <w:lvl w:ilvl="0" w:tplc="2FD42C7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F3E3D"/>
    <w:multiLevelType w:val="hybridMultilevel"/>
    <w:tmpl w:val="BDD8B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88401BC"/>
    <w:multiLevelType w:val="hybridMultilevel"/>
    <w:tmpl w:val="64406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9"/>
  </w:num>
  <w:num w:numId="8">
    <w:abstractNumId w:val="10"/>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003"/>
    <w:rsid w:val="002C0C38"/>
    <w:rsid w:val="002E60E7"/>
    <w:rsid w:val="002F3778"/>
    <w:rsid w:val="003C3917"/>
    <w:rsid w:val="00464AB4"/>
    <w:rsid w:val="004F481B"/>
    <w:rsid w:val="00515DB5"/>
    <w:rsid w:val="0055162F"/>
    <w:rsid w:val="006737D8"/>
    <w:rsid w:val="007F3003"/>
    <w:rsid w:val="007F5212"/>
    <w:rsid w:val="008C6F7A"/>
    <w:rsid w:val="008D2D49"/>
    <w:rsid w:val="00913A5D"/>
    <w:rsid w:val="00A3088B"/>
    <w:rsid w:val="00A3528B"/>
    <w:rsid w:val="00CF1D54"/>
    <w:rsid w:val="00DA21E4"/>
    <w:rsid w:val="00DF7B0D"/>
    <w:rsid w:val="00E131F1"/>
    <w:rsid w:val="00E24538"/>
    <w:rsid w:val="00E3246F"/>
    <w:rsid w:val="00EC0DA0"/>
    <w:rsid w:val="00F546BE"/>
    <w:rsid w:val="00F757A3"/>
    <w:rsid w:val="00FA6B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F73DE9-232E-423D-B16B-C18C13CBD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00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7F30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F3003"/>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7F300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F3003"/>
    <w:rPr>
      <w:rFonts w:ascii="Arial" w:eastAsia="SimSun" w:hAnsi="Arial" w:cs="Times New Roman"/>
      <w:b/>
      <w:i/>
      <w:noProof/>
      <w:sz w:val="18"/>
      <w:szCs w:val="20"/>
    </w:rPr>
  </w:style>
  <w:style w:type="character" w:styleId="PageNumber">
    <w:name w:val="page number"/>
    <w:basedOn w:val="DefaultParagraphFont"/>
    <w:rsid w:val="007F3003"/>
  </w:style>
  <w:style w:type="character" w:customStyle="1" w:styleId="Heading1Char1">
    <w:name w:val="Heading 1 Char1"/>
    <w:link w:val="Heading1"/>
    <w:rsid w:val="007F3003"/>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7F3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F3003"/>
    <w:rPr>
      <w:rFonts w:ascii="Calibri" w:eastAsia="Calibri" w:hAnsi="Calibri" w:cs="Times New Roman"/>
    </w:rPr>
  </w:style>
  <w:style w:type="paragraph" w:styleId="Header">
    <w:name w:val="header"/>
    <w:basedOn w:val="Normal"/>
    <w:link w:val="HeaderChar"/>
    <w:uiPriority w:val="99"/>
    <w:semiHidden/>
    <w:unhideWhenUsed/>
    <w:rsid w:val="007F3003"/>
    <w:pPr>
      <w:tabs>
        <w:tab w:val="center" w:pos="4680"/>
        <w:tab w:val="right" w:pos="9360"/>
      </w:tabs>
      <w:spacing w:after="0"/>
    </w:pPr>
  </w:style>
  <w:style w:type="character" w:customStyle="1" w:styleId="HeaderChar">
    <w:name w:val="Header Char"/>
    <w:basedOn w:val="DefaultParagraphFont"/>
    <w:link w:val="Header"/>
    <w:uiPriority w:val="99"/>
    <w:semiHidden/>
    <w:rsid w:val="007F3003"/>
    <w:rPr>
      <w:rFonts w:ascii="Times New Roman" w:eastAsia="SimSun" w:hAnsi="Times New Roman" w:cs="Times New Roman"/>
      <w:sz w:val="20"/>
      <w:szCs w:val="20"/>
    </w:rPr>
  </w:style>
  <w:style w:type="table" w:styleId="TableGrid">
    <w:name w:val="Table Grid"/>
    <w:basedOn w:val="TableNormal"/>
    <w:uiPriority w:val="59"/>
    <w:rsid w:val="003C3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3C3917"/>
    <w:pPr>
      <w:spacing w:before="120" w:after="120"/>
    </w:pPr>
    <w:rPr>
      <w:rFonts w:eastAsiaTheme="minorEastAsia"/>
      <w:b/>
      <w:bCs/>
    </w:rPr>
  </w:style>
  <w:style w:type="paragraph" w:styleId="BalloonText">
    <w:name w:val="Balloon Text"/>
    <w:basedOn w:val="Normal"/>
    <w:link w:val="BalloonTextChar"/>
    <w:uiPriority w:val="99"/>
    <w:semiHidden/>
    <w:unhideWhenUsed/>
    <w:rsid w:val="00F757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7A3"/>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2446">
      <w:bodyDiv w:val="1"/>
      <w:marLeft w:val="0"/>
      <w:marRight w:val="0"/>
      <w:marTop w:val="0"/>
      <w:marBottom w:val="0"/>
      <w:divBdr>
        <w:top w:val="none" w:sz="0" w:space="0" w:color="auto"/>
        <w:left w:val="none" w:sz="0" w:space="0" w:color="auto"/>
        <w:bottom w:val="none" w:sz="0" w:space="0" w:color="auto"/>
        <w:right w:val="none" w:sz="0" w:space="0" w:color="auto"/>
      </w:divBdr>
      <w:divsChild>
        <w:div w:id="947935056">
          <w:marLeft w:val="360"/>
          <w:marRight w:val="0"/>
          <w:marTop w:val="240"/>
          <w:marBottom w:val="0"/>
          <w:divBdr>
            <w:top w:val="none" w:sz="0" w:space="0" w:color="auto"/>
            <w:left w:val="none" w:sz="0" w:space="0" w:color="auto"/>
            <w:bottom w:val="none" w:sz="0" w:space="0" w:color="auto"/>
            <w:right w:val="none" w:sz="0" w:space="0" w:color="auto"/>
          </w:divBdr>
        </w:div>
        <w:div w:id="1590114299">
          <w:marLeft w:val="360"/>
          <w:marRight w:val="0"/>
          <w:marTop w:val="240"/>
          <w:marBottom w:val="0"/>
          <w:divBdr>
            <w:top w:val="none" w:sz="0" w:space="0" w:color="auto"/>
            <w:left w:val="none" w:sz="0" w:space="0" w:color="auto"/>
            <w:bottom w:val="none" w:sz="0" w:space="0" w:color="auto"/>
            <w:right w:val="none" w:sz="0" w:space="0" w:color="auto"/>
          </w:divBdr>
        </w:div>
        <w:div w:id="670566839">
          <w:marLeft w:val="360"/>
          <w:marRight w:val="0"/>
          <w:marTop w:val="240"/>
          <w:marBottom w:val="0"/>
          <w:divBdr>
            <w:top w:val="none" w:sz="0" w:space="0" w:color="auto"/>
            <w:left w:val="none" w:sz="0" w:space="0" w:color="auto"/>
            <w:bottom w:val="none" w:sz="0" w:space="0" w:color="auto"/>
            <w:right w:val="none" w:sz="0" w:space="0" w:color="auto"/>
          </w:divBdr>
        </w:div>
        <w:div w:id="1786075543">
          <w:marLeft w:val="360"/>
          <w:marRight w:val="0"/>
          <w:marTop w:val="240"/>
          <w:marBottom w:val="0"/>
          <w:divBdr>
            <w:top w:val="none" w:sz="0" w:space="0" w:color="auto"/>
            <w:left w:val="none" w:sz="0" w:space="0" w:color="auto"/>
            <w:bottom w:val="none" w:sz="0" w:space="0" w:color="auto"/>
            <w:right w:val="none" w:sz="0" w:space="0" w:color="auto"/>
          </w:divBdr>
        </w:div>
        <w:div w:id="1734962093">
          <w:marLeft w:val="360"/>
          <w:marRight w:val="0"/>
          <w:marTop w:val="240"/>
          <w:marBottom w:val="0"/>
          <w:divBdr>
            <w:top w:val="none" w:sz="0" w:space="0" w:color="auto"/>
            <w:left w:val="none" w:sz="0" w:space="0" w:color="auto"/>
            <w:bottom w:val="none" w:sz="0" w:space="0" w:color="auto"/>
            <w:right w:val="none" w:sz="0" w:space="0" w:color="auto"/>
          </w:divBdr>
        </w:div>
      </w:divsChild>
    </w:div>
    <w:div w:id="177740556">
      <w:bodyDiv w:val="1"/>
      <w:marLeft w:val="0"/>
      <w:marRight w:val="0"/>
      <w:marTop w:val="0"/>
      <w:marBottom w:val="0"/>
      <w:divBdr>
        <w:top w:val="none" w:sz="0" w:space="0" w:color="auto"/>
        <w:left w:val="none" w:sz="0" w:space="0" w:color="auto"/>
        <w:bottom w:val="none" w:sz="0" w:space="0" w:color="auto"/>
        <w:right w:val="none" w:sz="0" w:space="0" w:color="auto"/>
      </w:divBdr>
    </w:div>
    <w:div w:id="408234593">
      <w:bodyDiv w:val="1"/>
      <w:marLeft w:val="0"/>
      <w:marRight w:val="0"/>
      <w:marTop w:val="0"/>
      <w:marBottom w:val="0"/>
      <w:divBdr>
        <w:top w:val="none" w:sz="0" w:space="0" w:color="auto"/>
        <w:left w:val="none" w:sz="0" w:space="0" w:color="auto"/>
        <w:bottom w:val="none" w:sz="0" w:space="0" w:color="auto"/>
        <w:right w:val="none" w:sz="0" w:space="0" w:color="auto"/>
      </w:divBdr>
    </w:div>
    <w:div w:id="765659137">
      <w:bodyDiv w:val="1"/>
      <w:marLeft w:val="0"/>
      <w:marRight w:val="0"/>
      <w:marTop w:val="0"/>
      <w:marBottom w:val="0"/>
      <w:divBdr>
        <w:top w:val="none" w:sz="0" w:space="0" w:color="auto"/>
        <w:left w:val="none" w:sz="0" w:space="0" w:color="auto"/>
        <w:bottom w:val="none" w:sz="0" w:space="0" w:color="auto"/>
        <w:right w:val="none" w:sz="0" w:space="0" w:color="auto"/>
      </w:divBdr>
    </w:div>
    <w:div w:id="1244101293">
      <w:bodyDiv w:val="1"/>
      <w:marLeft w:val="0"/>
      <w:marRight w:val="0"/>
      <w:marTop w:val="0"/>
      <w:marBottom w:val="0"/>
      <w:divBdr>
        <w:top w:val="none" w:sz="0" w:space="0" w:color="auto"/>
        <w:left w:val="none" w:sz="0" w:space="0" w:color="auto"/>
        <w:bottom w:val="none" w:sz="0" w:space="0" w:color="auto"/>
        <w:right w:val="none" w:sz="0" w:space="0" w:color="auto"/>
      </w:divBdr>
    </w:div>
    <w:div w:id="1351761322">
      <w:bodyDiv w:val="1"/>
      <w:marLeft w:val="0"/>
      <w:marRight w:val="0"/>
      <w:marTop w:val="0"/>
      <w:marBottom w:val="0"/>
      <w:divBdr>
        <w:top w:val="none" w:sz="0" w:space="0" w:color="auto"/>
        <w:left w:val="none" w:sz="0" w:space="0" w:color="auto"/>
        <w:bottom w:val="none" w:sz="0" w:space="0" w:color="auto"/>
        <w:right w:val="none" w:sz="0" w:space="0" w:color="auto"/>
      </w:divBdr>
    </w:div>
    <w:div w:id="1433892182">
      <w:bodyDiv w:val="1"/>
      <w:marLeft w:val="0"/>
      <w:marRight w:val="0"/>
      <w:marTop w:val="0"/>
      <w:marBottom w:val="0"/>
      <w:divBdr>
        <w:top w:val="none" w:sz="0" w:space="0" w:color="auto"/>
        <w:left w:val="none" w:sz="0" w:space="0" w:color="auto"/>
        <w:bottom w:val="none" w:sz="0" w:space="0" w:color="auto"/>
        <w:right w:val="none" w:sz="0" w:space="0" w:color="auto"/>
      </w:divBdr>
      <w:divsChild>
        <w:div w:id="1144153470">
          <w:marLeft w:val="360"/>
          <w:marRight w:val="0"/>
          <w:marTop w:val="240"/>
          <w:marBottom w:val="0"/>
          <w:divBdr>
            <w:top w:val="none" w:sz="0" w:space="0" w:color="auto"/>
            <w:left w:val="none" w:sz="0" w:space="0" w:color="auto"/>
            <w:bottom w:val="none" w:sz="0" w:space="0" w:color="auto"/>
            <w:right w:val="none" w:sz="0" w:space="0" w:color="auto"/>
          </w:divBdr>
        </w:div>
        <w:div w:id="1147092979">
          <w:marLeft w:val="360"/>
          <w:marRight w:val="0"/>
          <w:marTop w:val="240"/>
          <w:marBottom w:val="0"/>
          <w:divBdr>
            <w:top w:val="none" w:sz="0" w:space="0" w:color="auto"/>
            <w:left w:val="none" w:sz="0" w:space="0" w:color="auto"/>
            <w:bottom w:val="none" w:sz="0" w:space="0" w:color="auto"/>
            <w:right w:val="none" w:sz="0" w:space="0" w:color="auto"/>
          </w:divBdr>
        </w:div>
        <w:div w:id="1415205484">
          <w:marLeft w:val="360"/>
          <w:marRight w:val="0"/>
          <w:marTop w:val="240"/>
          <w:marBottom w:val="0"/>
          <w:divBdr>
            <w:top w:val="none" w:sz="0" w:space="0" w:color="auto"/>
            <w:left w:val="none" w:sz="0" w:space="0" w:color="auto"/>
            <w:bottom w:val="none" w:sz="0" w:space="0" w:color="auto"/>
            <w:right w:val="none" w:sz="0" w:space="0" w:color="auto"/>
          </w:divBdr>
        </w:div>
        <w:div w:id="1015696440">
          <w:marLeft w:val="360"/>
          <w:marRight w:val="0"/>
          <w:marTop w:val="240"/>
          <w:marBottom w:val="0"/>
          <w:divBdr>
            <w:top w:val="none" w:sz="0" w:space="0" w:color="auto"/>
            <w:left w:val="none" w:sz="0" w:space="0" w:color="auto"/>
            <w:bottom w:val="none" w:sz="0" w:space="0" w:color="auto"/>
            <w:right w:val="none" w:sz="0" w:space="0" w:color="auto"/>
          </w:divBdr>
        </w:div>
        <w:div w:id="1334182140">
          <w:marLeft w:val="360"/>
          <w:marRight w:val="0"/>
          <w:marTop w:val="240"/>
          <w:marBottom w:val="0"/>
          <w:divBdr>
            <w:top w:val="none" w:sz="0" w:space="0" w:color="auto"/>
            <w:left w:val="none" w:sz="0" w:space="0" w:color="auto"/>
            <w:bottom w:val="none" w:sz="0" w:space="0" w:color="auto"/>
            <w:right w:val="none" w:sz="0" w:space="0" w:color="auto"/>
          </w:divBdr>
        </w:div>
      </w:divsChild>
    </w:div>
    <w:div w:id="180985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Chatterjee, Debdeep</cp:lastModifiedBy>
  <cp:revision>2</cp:revision>
  <dcterms:created xsi:type="dcterms:W3CDTF">2017-08-12T03:47:00Z</dcterms:created>
  <dcterms:modified xsi:type="dcterms:W3CDTF">2017-08-12T03:47:00Z</dcterms:modified>
</cp:coreProperties>
</file>